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3C63D" w14:textId="67126A8B" w:rsidR="00A61236" w:rsidRDefault="00A61236" w:rsidP="00A61236">
      <w:pPr>
        <w:spacing w:line="360" w:lineRule="auto"/>
        <w:jc w:val="center"/>
        <w:rPr>
          <w:rFonts w:ascii="David" w:eastAsia="Aptos" w:hAnsi="David" w:cs="David"/>
          <w:kern w:val="2"/>
          <w:sz w:val="22"/>
          <w:szCs w:val="22"/>
          <w:rtl/>
        </w:rPr>
      </w:pPr>
      <w:r>
        <w:rPr>
          <w:rFonts w:ascii="David" w:eastAsia="Aptos" w:hAnsi="David" w:cs="David" w:hint="cs"/>
          <w:b/>
          <w:bCs/>
          <w:kern w:val="2"/>
          <w:sz w:val="28"/>
          <w:szCs w:val="28"/>
          <w:u w:val="single"/>
          <w:rtl/>
        </w:rPr>
        <w:t xml:space="preserve">האם כבר נערכתם ליישום הוראות </w:t>
      </w:r>
      <w:r w:rsidRPr="00E72D25">
        <w:rPr>
          <w:rFonts w:ascii="David" w:eastAsia="Aptos" w:hAnsi="David" w:cs="David" w:hint="cs"/>
          <w:b/>
          <w:bCs/>
          <w:kern w:val="2"/>
          <w:sz w:val="28"/>
          <w:szCs w:val="28"/>
          <w:u w:val="single"/>
          <w:rtl/>
        </w:rPr>
        <w:t>תיקון 13 לחוק הגנת פרטיות</w:t>
      </w:r>
      <w:r>
        <w:rPr>
          <w:rFonts w:ascii="David" w:eastAsia="Aptos" w:hAnsi="David" w:cs="David" w:hint="cs"/>
          <w:b/>
          <w:bCs/>
          <w:kern w:val="2"/>
          <w:sz w:val="28"/>
          <w:szCs w:val="28"/>
          <w:u w:val="single"/>
          <w:rtl/>
        </w:rPr>
        <w:t>?</w:t>
      </w:r>
    </w:p>
    <w:p w14:paraId="789D9032" w14:textId="77777777" w:rsidR="00A61236" w:rsidRPr="00DD103B" w:rsidRDefault="00A61236" w:rsidP="00A61236">
      <w:pPr>
        <w:jc w:val="center"/>
        <w:rPr>
          <w:rFonts w:ascii="David" w:hAnsi="David" w:cs="David"/>
          <w:b/>
          <w:bCs/>
          <w:u w:val="single"/>
          <w:rtl/>
        </w:rPr>
      </w:pPr>
      <w:r w:rsidRPr="00DD103B">
        <w:rPr>
          <w:rFonts w:ascii="David" w:hAnsi="David" w:cs="David"/>
          <w:b/>
          <w:bCs/>
          <w:u w:val="single"/>
          <w:rtl/>
        </w:rPr>
        <w:t>עו"ד יעקב עוז הינו יועץ לחברי לשכת סוכני הביטוח בתחום הגנת הפרטיות ואבטחת מידע</w:t>
      </w:r>
    </w:p>
    <w:p w14:paraId="1D73A56A" w14:textId="77777777" w:rsidR="00A61236" w:rsidRDefault="00A61236" w:rsidP="00A61236">
      <w:pPr>
        <w:spacing w:line="360" w:lineRule="auto"/>
        <w:jc w:val="center"/>
        <w:rPr>
          <w:rFonts w:ascii="David" w:eastAsia="Aptos" w:hAnsi="David" w:cs="David"/>
          <w:kern w:val="2"/>
          <w:sz w:val="22"/>
          <w:szCs w:val="22"/>
          <w:rtl/>
        </w:rPr>
      </w:pPr>
    </w:p>
    <w:p w14:paraId="5EB8DBE3" w14:textId="77777777" w:rsidR="00A61236" w:rsidRPr="00E72D25" w:rsidRDefault="00A61236" w:rsidP="00A61236">
      <w:pPr>
        <w:spacing w:line="360" w:lineRule="auto"/>
        <w:jc w:val="center"/>
        <w:rPr>
          <w:rFonts w:ascii="David" w:eastAsia="Aptos" w:hAnsi="David" w:cs="David"/>
          <w:kern w:val="2"/>
          <w:sz w:val="22"/>
          <w:szCs w:val="22"/>
          <w:rtl/>
        </w:rPr>
      </w:pPr>
    </w:p>
    <w:p w14:paraId="74D88979" w14:textId="5B9310F7" w:rsidR="00A61236" w:rsidRPr="00E72D25" w:rsidRDefault="007E7C2A" w:rsidP="00A61236">
      <w:pPr>
        <w:spacing w:line="360" w:lineRule="auto"/>
        <w:jc w:val="both"/>
        <w:rPr>
          <w:rFonts w:ascii="David" w:eastAsia="Aptos" w:hAnsi="David" w:cs="David"/>
          <w:b/>
          <w:bCs/>
          <w:kern w:val="2"/>
          <w:sz w:val="22"/>
          <w:szCs w:val="22"/>
          <w:u w:val="single"/>
          <w:rtl/>
        </w:rPr>
      </w:pPr>
      <w:r>
        <w:rPr>
          <w:rFonts w:ascii="David" w:eastAsia="Aptos" w:hAnsi="David" w:cs="David" w:hint="cs"/>
          <w:kern w:val="2"/>
          <w:sz w:val="22"/>
          <w:szCs w:val="22"/>
          <w:rtl/>
        </w:rPr>
        <w:t xml:space="preserve">סעיף 7 בחוק יסוד: כבוד האדם, </w:t>
      </w:r>
      <w:r w:rsidR="00A61236" w:rsidRPr="00E72D25">
        <w:rPr>
          <w:rFonts w:ascii="David" w:eastAsia="Aptos" w:hAnsi="David" w:cs="David"/>
          <w:kern w:val="2"/>
          <w:sz w:val="22"/>
          <w:szCs w:val="22"/>
          <w:rtl/>
        </w:rPr>
        <w:t>חוק הגנת הפרטיות, התשמ"א</w:t>
      </w:r>
      <w:r w:rsidR="00A61236" w:rsidRPr="00E72D25">
        <w:rPr>
          <w:rFonts w:ascii="David" w:eastAsia="Aptos" w:hAnsi="David" w:cs="David" w:hint="cs"/>
          <w:kern w:val="2"/>
          <w:sz w:val="22"/>
          <w:szCs w:val="22"/>
          <w:rtl/>
        </w:rPr>
        <w:t>-</w:t>
      </w:r>
      <w:r w:rsidR="00A61236" w:rsidRPr="00E72D25">
        <w:rPr>
          <w:rFonts w:ascii="David" w:eastAsia="Aptos" w:hAnsi="David" w:cs="David"/>
          <w:kern w:val="2"/>
          <w:sz w:val="22"/>
          <w:szCs w:val="22"/>
          <w:rtl/>
        </w:rPr>
        <w:t>1981</w:t>
      </w:r>
      <w:r w:rsidR="00A61236" w:rsidRPr="00E72D25">
        <w:rPr>
          <w:rFonts w:ascii="David" w:eastAsia="Aptos" w:hAnsi="David" w:cs="David" w:hint="cs"/>
          <w:kern w:val="2"/>
          <w:sz w:val="22"/>
          <w:szCs w:val="22"/>
          <w:rtl/>
        </w:rPr>
        <w:t xml:space="preserve"> (להלן: </w:t>
      </w:r>
      <w:r w:rsidR="00A61236">
        <w:rPr>
          <w:rFonts w:ascii="David" w:eastAsia="Aptos" w:hAnsi="David" w:cs="David" w:hint="cs"/>
          <w:kern w:val="2"/>
          <w:sz w:val="22"/>
          <w:szCs w:val="22"/>
          <w:rtl/>
        </w:rPr>
        <w:t>"</w:t>
      </w:r>
      <w:r w:rsidR="00A61236" w:rsidRPr="00D47B38">
        <w:rPr>
          <w:rFonts w:ascii="David" w:eastAsia="Aptos" w:hAnsi="David" w:cs="David" w:hint="cs"/>
          <w:b/>
          <w:bCs/>
          <w:kern w:val="2"/>
          <w:sz w:val="22"/>
          <w:szCs w:val="22"/>
          <w:rtl/>
        </w:rPr>
        <w:t>החוק</w:t>
      </w:r>
      <w:r w:rsidR="00A61236">
        <w:rPr>
          <w:rFonts w:ascii="David" w:eastAsia="Aptos" w:hAnsi="David" w:cs="David" w:hint="cs"/>
          <w:kern w:val="2"/>
          <w:sz w:val="22"/>
          <w:szCs w:val="22"/>
          <w:rtl/>
        </w:rPr>
        <w:t xml:space="preserve">"  או </w:t>
      </w:r>
      <w:r w:rsidR="00A61236" w:rsidRPr="00E72D25">
        <w:rPr>
          <w:rFonts w:ascii="David" w:eastAsia="Aptos" w:hAnsi="David" w:cs="David" w:hint="cs"/>
          <w:kern w:val="2"/>
          <w:sz w:val="22"/>
          <w:szCs w:val="22"/>
          <w:rtl/>
        </w:rPr>
        <w:t>"</w:t>
      </w:r>
      <w:r w:rsidR="00A61236" w:rsidRPr="00E72D25">
        <w:rPr>
          <w:rFonts w:ascii="David" w:eastAsia="Aptos" w:hAnsi="David" w:cs="David" w:hint="cs"/>
          <w:b/>
          <w:bCs/>
          <w:kern w:val="2"/>
          <w:sz w:val="22"/>
          <w:szCs w:val="22"/>
          <w:rtl/>
        </w:rPr>
        <w:t>חוק הגנת הפרטיות</w:t>
      </w:r>
      <w:r w:rsidR="00A61236" w:rsidRPr="00E72D25">
        <w:rPr>
          <w:rFonts w:ascii="David" w:eastAsia="Aptos" w:hAnsi="David" w:cs="David" w:hint="cs"/>
          <w:kern w:val="2"/>
          <w:sz w:val="22"/>
          <w:szCs w:val="22"/>
          <w:rtl/>
        </w:rPr>
        <w:t>")</w:t>
      </w:r>
      <w:r w:rsidR="00A61236" w:rsidRPr="00E72D25">
        <w:rPr>
          <w:rFonts w:ascii="David" w:eastAsia="Aptos" w:hAnsi="David" w:cs="David"/>
          <w:kern w:val="2"/>
          <w:sz w:val="22"/>
          <w:szCs w:val="22"/>
          <w:rtl/>
        </w:rPr>
        <w:t xml:space="preserve">, </w:t>
      </w:r>
      <w:r>
        <w:rPr>
          <w:rFonts w:ascii="David" w:eastAsia="Aptos" w:hAnsi="David" w:cs="David" w:hint="cs"/>
          <w:kern w:val="2"/>
          <w:sz w:val="22"/>
          <w:szCs w:val="22"/>
          <w:rtl/>
        </w:rPr>
        <w:t>תקנותיו, הנחיות הרשות להגנת הפרטיות רגולציות מגזריות, פסיקת בתי המשפט הם</w:t>
      </w:r>
      <w:r w:rsidRPr="00E72D25">
        <w:rPr>
          <w:rFonts w:ascii="David" w:eastAsia="Aptos" w:hAnsi="David" w:cs="David"/>
          <w:kern w:val="2"/>
          <w:sz w:val="22"/>
          <w:szCs w:val="22"/>
          <w:rtl/>
        </w:rPr>
        <w:t xml:space="preserve"> </w:t>
      </w:r>
      <w:r w:rsidR="00A61236" w:rsidRPr="00E72D25">
        <w:rPr>
          <w:rFonts w:ascii="David" w:eastAsia="Aptos" w:hAnsi="David" w:cs="David"/>
          <w:kern w:val="2"/>
          <w:sz w:val="22"/>
          <w:szCs w:val="22"/>
          <w:rtl/>
        </w:rPr>
        <w:t xml:space="preserve">המסגרת החוקית </w:t>
      </w:r>
      <w:r>
        <w:rPr>
          <w:rFonts w:ascii="David" w:eastAsia="Aptos" w:hAnsi="David" w:cs="David" w:hint="cs"/>
          <w:kern w:val="2"/>
          <w:sz w:val="22"/>
          <w:szCs w:val="22"/>
          <w:rtl/>
        </w:rPr>
        <w:t xml:space="preserve">והנורמטיבית </w:t>
      </w:r>
      <w:r w:rsidR="00A61236" w:rsidRPr="00E72D25">
        <w:rPr>
          <w:rFonts w:ascii="David" w:eastAsia="Aptos" w:hAnsi="David" w:cs="David"/>
          <w:kern w:val="2"/>
          <w:sz w:val="22"/>
          <w:szCs w:val="22"/>
          <w:rtl/>
        </w:rPr>
        <w:t>בישראל המגדיר</w:t>
      </w:r>
      <w:r>
        <w:rPr>
          <w:rFonts w:ascii="David" w:eastAsia="Aptos" w:hAnsi="David" w:cs="David" w:hint="cs"/>
          <w:kern w:val="2"/>
          <w:sz w:val="22"/>
          <w:szCs w:val="22"/>
          <w:rtl/>
        </w:rPr>
        <w:t>ים</w:t>
      </w:r>
      <w:r w:rsidR="00A61236" w:rsidRPr="00E72D25">
        <w:rPr>
          <w:rFonts w:ascii="David" w:eastAsia="Aptos" w:hAnsi="David" w:cs="David"/>
          <w:kern w:val="2"/>
          <w:sz w:val="22"/>
          <w:szCs w:val="22"/>
          <w:rtl/>
        </w:rPr>
        <w:t xml:space="preserve"> מהי "פגיעה בפרטיות", מהו "מידע אישי", </w:t>
      </w:r>
      <w:r>
        <w:rPr>
          <w:rFonts w:ascii="David" w:eastAsia="Aptos" w:hAnsi="David" w:cs="David" w:hint="cs"/>
          <w:kern w:val="2"/>
          <w:sz w:val="22"/>
          <w:szCs w:val="22"/>
          <w:rtl/>
        </w:rPr>
        <w:t>"מידע בעל רגישות מיוחדת" החובות והזכויות ו</w:t>
      </w:r>
      <w:r w:rsidR="00A61236" w:rsidRPr="00E72D25">
        <w:rPr>
          <w:rFonts w:ascii="David" w:eastAsia="Aptos" w:hAnsi="David" w:cs="David"/>
          <w:kern w:val="2"/>
          <w:sz w:val="22"/>
          <w:szCs w:val="22"/>
          <w:rtl/>
        </w:rPr>
        <w:t xml:space="preserve">כיצד מותר לאסוף ולעבד מידע אישי, ומהם התנאים להחזקת מאגרי מידע. </w:t>
      </w:r>
      <w:r>
        <w:rPr>
          <w:rFonts w:ascii="David" w:eastAsia="Aptos" w:hAnsi="David" w:cs="David" w:hint="cs"/>
          <w:kern w:val="2"/>
          <w:sz w:val="22"/>
          <w:szCs w:val="22"/>
          <w:rtl/>
        </w:rPr>
        <w:t xml:space="preserve">במסגרת זכויות אלה </w:t>
      </w:r>
      <w:r w:rsidR="00A61236" w:rsidRPr="00E72D25">
        <w:rPr>
          <w:rFonts w:ascii="David" w:eastAsia="Aptos" w:hAnsi="David" w:cs="David"/>
          <w:kern w:val="2"/>
          <w:sz w:val="22"/>
          <w:szCs w:val="22"/>
          <w:rtl/>
        </w:rPr>
        <w:t xml:space="preserve"> </w:t>
      </w:r>
      <w:r>
        <w:rPr>
          <w:rFonts w:ascii="David" w:eastAsia="Aptos" w:hAnsi="David" w:cs="David" w:hint="cs"/>
          <w:kern w:val="2"/>
          <w:sz w:val="22"/>
          <w:szCs w:val="22"/>
          <w:rtl/>
        </w:rPr>
        <w:t xml:space="preserve">מוסדרת </w:t>
      </w:r>
      <w:r w:rsidRPr="00E72D25">
        <w:rPr>
          <w:rFonts w:ascii="David" w:eastAsia="Aptos" w:hAnsi="David" w:cs="David"/>
          <w:kern w:val="2"/>
          <w:sz w:val="22"/>
          <w:szCs w:val="22"/>
          <w:rtl/>
        </w:rPr>
        <w:t xml:space="preserve"> </w:t>
      </w:r>
      <w:r w:rsidR="00A61236" w:rsidRPr="00E72D25">
        <w:rPr>
          <w:rFonts w:ascii="David" w:eastAsia="Aptos" w:hAnsi="David" w:cs="David"/>
          <w:kern w:val="2"/>
          <w:sz w:val="22"/>
          <w:szCs w:val="22"/>
          <w:rtl/>
        </w:rPr>
        <w:t>הזכות לעיין, לתקן ולהסיר מידע אישי, ומגדיר אחריות משפטית ומנהלתית לבעלי מאגרים.</w:t>
      </w:r>
    </w:p>
    <w:p w14:paraId="321EEA62" w14:textId="77777777" w:rsidR="00A61236" w:rsidRDefault="00A61236" w:rsidP="00A61236">
      <w:pPr>
        <w:spacing w:line="360" w:lineRule="auto"/>
        <w:jc w:val="both"/>
        <w:rPr>
          <w:rFonts w:ascii="David" w:eastAsia="Aptos" w:hAnsi="David" w:cs="David"/>
          <w:kern w:val="2"/>
          <w:sz w:val="22"/>
          <w:szCs w:val="22"/>
          <w:rtl/>
        </w:rPr>
      </w:pPr>
      <w:r w:rsidRPr="00E72D25">
        <w:rPr>
          <w:rFonts w:ascii="David" w:eastAsia="Aptos" w:hAnsi="David" w:cs="David"/>
          <w:kern w:val="2"/>
          <w:sz w:val="22"/>
          <w:szCs w:val="22"/>
          <w:rtl/>
        </w:rPr>
        <w:t>תיקון מס' 13 לחוק הגנת הפרטיות (להלן "</w:t>
      </w:r>
      <w:r w:rsidRPr="00E72D25">
        <w:rPr>
          <w:rFonts w:ascii="David" w:eastAsia="Aptos" w:hAnsi="David" w:cs="David"/>
          <w:b/>
          <w:bCs/>
          <w:kern w:val="2"/>
          <w:sz w:val="22"/>
          <w:szCs w:val="22"/>
          <w:rtl/>
        </w:rPr>
        <w:t>התיקון לחוק</w:t>
      </w:r>
      <w:r w:rsidRPr="00E72D25">
        <w:rPr>
          <w:rFonts w:ascii="David" w:eastAsia="Aptos" w:hAnsi="David" w:cs="David"/>
          <w:kern w:val="2"/>
          <w:sz w:val="22"/>
          <w:szCs w:val="22"/>
          <w:rtl/>
        </w:rPr>
        <w:t>"), הינו התיקון המקיף ביותר שנעשה אי פעם לחוק, והתיקון הגדול הראשון מאז תוקן החוק בשנת 1996.</w:t>
      </w:r>
      <w:r w:rsidRPr="00E72D25">
        <w:rPr>
          <w:rFonts w:ascii="David" w:eastAsia="Aptos" w:hAnsi="David" w:cs="David" w:hint="cs"/>
          <w:kern w:val="2"/>
          <w:sz w:val="22"/>
          <w:szCs w:val="22"/>
          <w:rtl/>
        </w:rPr>
        <w:t xml:space="preserve"> </w:t>
      </w:r>
      <w:r w:rsidRPr="00E72D25">
        <w:rPr>
          <w:rFonts w:ascii="David" w:eastAsia="Aptos" w:hAnsi="David" w:cs="David"/>
          <w:kern w:val="2"/>
          <w:sz w:val="22"/>
          <w:szCs w:val="22"/>
          <w:rtl/>
        </w:rPr>
        <w:t xml:space="preserve">התיקון </w:t>
      </w:r>
      <w:r>
        <w:rPr>
          <w:rFonts w:ascii="David" w:eastAsia="Aptos" w:hAnsi="David" w:cs="David" w:hint="cs"/>
          <w:kern w:val="2"/>
          <w:sz w:val="22"/>
          <w:szCs w:val="22"/>
          <w:rtl/>
        </w:rPr>
        <w:t xml:space="preserve">מרחיב את סמכויות הרשות להגנת הפרטיות ובין היתר מקנה לה את הזכות להטיל עיצומים כספיים בסך העלול להגיע עד כדי מיליוני שקלים לכל מי שיפר את החוק או את תקנות הגנת הפרטיות (אבטחת מידע), </w:t>
      </w:r>
      <w:proofErr w:type="spellStart"/>
      <w:r>
        <w:rPr>
          <w:rFonts w:ascii="David" w:eastAsia="Aptos" w:hAnsi="David" w:cs="David" w:hint="cs"/>
          <w:kern w:val="2"/>
          <w:sz w:val="22"/>
          <w:szCs w:val="22"/>
          <w:rtl/>
        </w:rPr>
        <w:t>התשע"ז</w:t>
      </w:r>
      <w:proofErr w:type="spellEnd"/>
      <w:r>
        <w:rPr>
          <w:rFonts w:ascii="David" w:eastAsia="Aptos" w:hAnsi="David" w:cs="David" w:hint="cs"/>
          <w:kern w:val="2"/>
          <w:sz w:val="22"/>
          <w:szCs w:val="22"/>
          <w:rtl/>
        </w:rPr>
        <w:t xml:space="preserve"> </w:t>
      </w:r>
      <w:r>
        <w:rPr>
          <w:rFonts w:ascii="David" w:eastAsia="Aptos" w:hAnsi="David" w:cs="David"/>
          <w:kern w:val="2"/>
          <w:sz w:val="22"/>
          <w:szCs w:val="22"/>
          <w:rtl/>
        </w:rPr>
        <w:t>–</w:t>
      </w:r>
      <w:r>
        <w:rPr>
          <w:rFonts w:ascii="David" w:eastAsia="Aptos" w:hAnsi="David" w:cs="David" w:hint="cs"/>
          <w:kern w:val="2"/>
          <w:sz w:val="22"/>
          <w:szCs w:val="22"/>
          <w:rtl/>
        </w:rPr>
        <w:t xml:space="preserve"> 2017  (להלן: "</w:t>
      </w:r>
      <w:r w:rsidRPr="00D47B38">
        <w:rPr>
          <w:rFonts w:ascii="David" w:eastAsia="Aptos" w:hAnsi="David" w:cs="David" w:hint="cs"/>
          <w:b/>
          <w:bCs/>
          <w:kern w:val="2"/>
          <w:sz w:val="22"/>
          <w:szCs w:val="22"/>
          <w:rtl/>
        </w:rPr>
        <w:t>התקנות</w:t>
      </w:r>
      <w:r>
        <w:rPr>
          <w:rFonts w:ascii="David" w:eastAsia="Aptos" w:hAnsi="David" w:cs="David" w:hint="cs"/>
          <w:kern w:val="2"/>
          <w:sz w:val="22"/>
          <w:szCs w:val="22"/>
          <w:rtl/>
        </w:rPr>
        <w:t xml:space="preserve">") </w:t>
      </w:r>
      <w:r w:rsidRPr="00E72D25">
        <w:rPr>
          <w:rFonts w:ascii="David" w:eastAsia="Aptos" w:hAnsi="David" w:cs="David"/>
          <w:kern w:val="2"/>
          <w:sz w:val="22"/>
          <w:szCs w:val="22"/>
          <w:rtl/>
        </w:rPr>
        <w:t xml:space="preserve">מקרב את תפיסת דיני הפרטיות בישראל לזו האירופאית, ומתמקד בתהליכי עיבוד המידע, לעומת המצב הקודם, שמיקד את האסדרה במאגרי המידע. </w:t>
      </w:r>
      <w:r w:rsidRPr="0046567B">
        <w:rPr>
          <w:rFonts w:ascii="David" w:eastAsia="Aptos" w:hAnsi="David" w:cs="David"/>
          <w:b/>
          <w:bCs/>
          <w:kern w:val="2"/>
          <w:sz w:val="22"/>
          <w:szCs w:val="22"/>
          <w:u w:val="single"/>
          <w:rtl/>
        </w:rPr>
        <w:t xml:space="preserve">התיקון </w:t>
      </w:r>
      <w:r>
        <w:rPr>
          <w:rFonts w:ascii="David" w:eastAsia="Aptos" w:hAnsi="David" w:cs="David" w:hint="cs"/>
          <w:b/>
          <w:bCs/>
          <w:kern w:val="2"/>
          <w:sz w:val="22"/>
          <w:szCs w:val="22"/>
          <w:u w:val="single"/>
          <w:rtl/>
        </w:rPr>
        <w:t>נכנס</w:t>
      </w:r>
      <w:r w:rsidRPr="0046567B">
        <w:rPr>
          <w:rFonts w:ascii="David" w:eastAsia="Aptos" w:hAnsi="David" w:cs="David"/>
          <w:b/>
          <w:bCs/>
          <w:kern w:val="2"/>
          <w:sz w:val="22"/>
          <w:szCs w:val="22"/>
          <w:u w:val="single"/>
          <w:rtl/>
        </w:rPr>
        <w:t xml:space="preserve"> לתוקפו ב</w:t>
      </w:r>
      <w:r w:rsidRPr="0046567B">
        <w:rPr>
          <w:rFonts w:ascii="David" w:eastAsia="Aptos" w:hAnsi="David" w:cs="David" w:hint="cs"/>
          <w:b/>
          <w:bCs/>
          <w:kern w:val="2"/>
          <w:sz w:val="22"/>
          <w:szCs w:val="22"/>
          <w:u w:val="single"/>
          <w:rtl/>
        </w:rPr>
        <w:t xml:space="preserve"> </w:t>
      </w:r>
      <w:r w:rsidRPr="0046567B">
        <w:rPr>
          <w:rFonts w:ascii="David" w:eastAsia="Aptos" w:hAnsi="David" w:cs="David"/>
          <w:b/>
          <w:bCs/>
          <w:kern w:val="2"/>
          <w:sz w:val="22"/>
          <w:szCs w:val="22"/>
          <w:u w:val="single"/>
          <w:rtl/>
        </w:rPr>
        <w:t>–</w:t>
      </w:r>
      <w:r w:rsidRPr="0046567B">
        <w:rPr>
          <w:rFonts w:ascii="David" w:eastAsia="Aptos" w:hAnsi="David" w:cs="David" w:hint="cs"/>
          <w:b/>
          <w:bCs/>
          <w:kern w:val="2"/>
          <w:sz w:val="22"/>
          <w:szCs w:val="22"/>
          <w:u w:val="single"/>
          <w:rtl/>
        </w:rPr>
        <w:t xml:space="preserve"> 14 אוגוסט </w:t>
      </w:r>
      <w:r w:rsidRPr="0046567B">
        <w:rPr>
          <w:rFonts w:ascii="David" w:eastAsia="Aptos" w:hAnsi="David" w:cs="David"/>
          <w:b/>
          <w:bCs/>
          <w:kern w:val="2"/>
          <w:sz w:val="22"/>
          <w:szCs w:val="22"/>
          <w:u w:val="single"/>
          <w:rtl/>
        </w:rPr>
        <w:t>2025</w:t>
      </w:r>
      <w:r w:rsidRPr="00E72D25">
        <w:rPr>
          <w:rFonts w:ascii="David" w:eastAsia="Aptos" w:hAnsi="David" w:cs="David"/>
          <w:kern w:val="2"/>
          <w:sz w:val="22"/>
          <w:szCs w:val="22"/>
          <w:rtl/>
        </w:rPr>
        <w:t>.</w:t>
      </w:r>
    </w:p>
    <w:p w14:paraId="67127C27" w14:textId="77777777" w:rsidR="00A61236" w:rsidRDefault="00A61236" w:rsidP="00A61236">
      <w:pPr>
        <w:spacing w:line="360" w:lineRule="auto"/>
        <w:jc w:val="both"/>
        <w:rPr>
          <w:rFonts w:ascii="David" w:eastAsia="Aptos" w:hAnsi="David" w:cs="David"/>
          <w:kern w:val="2"/>
          <w:sz w:val="22"/>
          <w:szCs w:val="22"/>
          <w:rtl/>
        </w:rPr>
      </w:pPr>
    </w:p>
    <w:p w14:paraId="4B31DA1B" w14:textId="77777777" w:rsidR="00A61236" w:rsidRPr="00E72D25" w:rsidRDefault="00A61236" w:rsidP="00A61236">
      <w:pPr>
        <w:spacing w:line="360" w:lineRule="auto"/>
        <w:jc w:val="both"/>
        <w:rPr>
          <w:rFonts w:ascii="David" w:eastAsia="Aptos" w:hAnsi="David" w:cs="David"/>
          <w:kern w:val="2"/>
          <w:sz w:val="22"/>
          <w:szCs w:val="22"/>
          <w:rtl/>
        </w:rPr>
      </w:pPr>
    </w:p>
    <w:p w14:paraId="528913E7" w14:textId="77777777" w:rsidR="00A61236" w:rsidRPr="00E72D25" w:rsidRDefault="00A61236" w:rsidP="00A61236">
      <w:pPr>
        <w:spacing w:line="360" w:lineRule="auto"/>
        <w:rPr>
          <w:rFonts w:ascii="David" w:eastAsia="Aptos" w:hAnsi="David" w:cs="David"/>
          <w:b/>
          <w:bCs/>
          <w:kern w:val="2"/>
          <w:u w:val="single"/>
          <w:rtl/>
        </w:rPr>
      </w:pPr>
      <w:r w:rsidRPr="00E72D25">
        <w:rPr>
          <w:rFonts w:ascii="David" w:eastAsia="Aptos" w:hAnsi="David" w:cs="David"/>
          <w:b/>
          <w:bCs/>
          <w:kern w:val="2"/>
          <w:u w:val="single"/>
          <w:rtl/>
        </w:rPr>
        <w:t>מהם השינויים העיקריים במסגרת תיקון 13 וכיצד הם ישפיעו עליכם?</w:t>
      </w:r>
    </w:p>
    <w:p w14:paraId="6FCD5371" w14:textId="77777777" w:rsidR="00A61236" w:rsidRPr="00E72D25" w:rsidRDefault="00A61236" w:rsidP="00A61236">
      <w:pPr>
        <w:numPr>
          <w:ilvl w:val="0"/>
          <w:numId w:val="1"/>
        </w:numPr>
        <w:spacing w:line="360" w:lineRule="auto"/>
        <w:jc w:val="both"/>
        <w:rPr>
          <w:rFonts w:ascii="David" w:eastAsia="Aptos" w:hAnsi="David" w:cs="David"/>
          <w:kern w:val="2"/>
          <w:sz w:val="22"/>
          <w:szCs w:val="22"/>
          <w:rtl/>
        </w:rPr>
      </w:pPr>
      <w:r w:rsidRPr="00E72D25">
        <w:rPr>
          <w:rFonts w:ascii="David" w:eastAsia="Aptos" w:hAnsi="David" w:cs="David" w:hint="cs"/>
          <w:b/>
          <w:bCs/>
          <w:kern w:val="2"/>
          <w:sz w:val="22"/>
          <w:szCs w:val="22"/>
          <w:rtl/>
        </w:rPr>
        <w:t>שינוי והרחבת הגדרות</w:t>
      </w:r>
      <w:r w:rsidRPr="00E72D25">
        <w:rPr>
          <w:rFonts w:ascii="David" w:eastAsia="Aptos" w:hAnsi="David" w:cs="David" w:hint="cs"/>
          <w:kern w:val="2"/>
          <w:sz w:val="22"/>
          <w:szCs w:val="22"/>
          <w:rtl/>
        </w:rPr>
        <w:t>: הגדרת "מידע אישי" (במקום "מידע"), הרחבת הגדרות של "מידע רגיש", הוספת הגדרה של "בעל שליטה במאגר"</w:t>
      </w:r>
    </w:p>
    <w:p w14:paraId="3306FDAD" w14:textId="77777777" w:rsidR="00A61236" w:rsidRPr="00E72D25" w:rsidRDefault="00A61236" w:rsidP="00A61236">
      <w:pPr>
        <w:numPr>
          <w:ilvl w:val="0"/>
          <w:numId w:val="1"/>
        </w:numPr>
        <w:spacing w:line="360" w:lineRule="auto"/>
        <w:jc w:val="both"/>
        <w:rPr>
          <w:rFonts w:ascii="David" w:eastAsia="Aptos" w:hAnsi="David" w:cs="David"/>
          <w:kern w:val="2"/>
          <w:sz w:val="22"/>
          <w:szCs w:val="22"/>
          <w:rtl/>
        </w:rPr>
      </w:pPr>
      <w:r w:rsidRPr="00E72D25">
        <w:rPr>
          <w:rFonts w:ascii="David" w:eastAsia="Aptos" w:hAnsi="David" w:cs="David" w:hint="cs"/>
          <w:b/>
          <w:bCs/>
          <w:kern w:val="2"/>
          <w:sz w:val="22"/>
          <w:szCs w:val="22"/>
          <w:rtl/>
        </w:rPr>
        <w:t>הרחבת הגדרת מאגר מידע (תיבות דוא"ל/מפלגה/מעסיק)</w:t>
      </w:r>
      <w:r w:rsidRPr="00E72D25">
        <w:rPr>
          <w:rFonts w:ascii="David" w:eastAsia="Aptos" w:hAnsi="David" w:cs="David" w:hint="cs"/>
          <w:kern w:val="2"/>
          <w:sz w:val="22"/>
          <w:szCs w:val="22"/>
          <w:rtl/>
        </w:rPr>
        <w:t xml:space="preserve">: הגדרה רחבה יותר של מהו מאגר מידע החייב ברישום ובגנה, צמצום חובת רישום מאגרים אצל הרשם (הקלות) </w:t>
      </w:r>
    </w:p>
    <w:p w14:paraId="2E3EB7C8" w14:textId="77777777" w:rsidR="00A61236" w:rsidRPr="00E72D25" w:rsidRDefault="00A61236" w:rsidP="00A61236">
      <w:pPr>
        <w:numPr>
          <w:ilvl w:val="0"/>
          <w:numId w:val="1"/>
        </w:numPr>
        <w:spacing w:line="360" w:lineRule="auto"/>
        <w:jc w:val="both"/>
        <w:rPr>
          <w:rFonts w:ascii="David" w:eastAsia="Aptos" w:hAnsi="David" w:cs="David"/>
          <w:kern w:val="2"/>
          <w:sz w:val="22"/>
          <w:szCs w:val="22"/>
          <w:rtl/>
        </w:rPr>
      </w:pPr>
      <w:r w:rsidRPr="00E72D25">
        <w:rPr>
          <w:rFonts w:ascii="David" w:eastAsia="Aptos" w:hAnsi="David" w:cs="David" w:hint="cs"/>
          <w:b/>
          <w:bCs/>
          <w:kern w:val="2"/>
          <w:sz w:val="22"/>
          <w:szCs w:val="22"/>
          <w:rtl/>
        </w:rPr>
        <w:t>אחריות מוגברת</w:t>
      </w:r>
      <w:r w:rsidRPr="00E72D25">
        <w:rPr>
          <w:rFonts w:ascii="David" w:eastAsia="Aptos" w:hAnsi="David" w:cs="David" w:hint="cs"/>
          <w:kern w:val="2"/>
          <w:sz w:val="22"/>
          <w:szCs w:val="22"/>
          <w:rtl/>
        </w:rPr>
        <w:t>: הטלת אחריות ישירה על נושאי משרה בארגון</w:t>
      </w:r>
    </w:p>
    <w:p w14:paraId="371D36A5" w14:textId="77777777" w:rsidR="00A61236" w:rsidRPr="00E72D25" w:rsidRDefault="00A61236" w:rsidP="00A61236">
      <w:pPr>
        <w:numPr>
          <w:ilvl w:val="0"/>
          <w:numId w:val="1"/>
        </w:numPr>
        <w:spacing w:line="360" w:lineRule="auto"/>
        <w:jc w:val="both"/>
        <w:rPr>
          <w:rFonts w:ascii="David" w:eastAsia="Aptos" w:hAnsi="David" w:cs="David"/>
          <w:kern w:val="2"/>
          <w:sz w:val="22"/>
          <w:szCs w:val="22"/>
          <w:rtl/>
        </w:rPr>
      </w:pPr>
      <w:r w:rsidRPr="00E72D25">
        <w:rPr>
          <w:rFonts w:ascii="David" w:eastAsia="Aptos" w:hAnsi="David" w:cs="David" w:hint="cs"/>
          <w:b/>
          <w:bCs/>
          <w:kern w:val="2"/>
          <w:sz w:val="22"/>
          <w:szCs w:val="22"/>
          <w:rtl/>
        </w:rPr>
        <w:t>סמכויות פיקוח</w:t>
      </w:r>
      <w:r w:rsidRPr="00E72D25">
        <w:rPr>
          <w:rFonts w:ascii="David" w:eastAsia="Aptos" w:hAnsi="David" w:cs="David" w:hint="cs"/>
          <w:kern w:val="2"/>
          <w:sz w:val="22"/>
          <w:szCs w:val="22"/>
          <w:rtl/>
        </w:rPr>
        <w:t>: הרחבת סמכויות הפיקוח והאכיפה של הרשות להגנת פרטיות</w:t>
      </w:r>
    </w:p>
    <w:p w14:paraId="76C61A40" w14:textId="77777777" w:rsidR="00A61236" w:rsidRPr="00E72D25" w:rsidRDefault="00A61236" w:rsidP="00A61236">
      <w:pPr>
        <w:numPr>
          <w:ilvl w:val="0"/>
          <w:numId w:val="1"/>
        </w:numPr>
        <w:spacing w:line="360" w:lineRule="auto"/>
        <w:jc w:val="both"/>
        <w:rPr>
          <w:rFonts w:ascii="David" w:eastAsia="Aptos" w:hAnsi="David" w:cs="David"/>
          <w:kern w:val="2"/>
          <w:sz w:val="22"/>
          <w:szCs w:val="22"/>
          <w:rtl/>
        </w:rPr>
      </w:pPr>
      <w:r w:rsidRPr="00E72D25">
        <w:rPr>
          <w:rFonts w:ascii="David" w:eastAsia="Aptos" w:hAnsi="David" w:cs="David" w:hint="cs"/>
          <w:b/>
          <w:bCs/>
          <w:kern w:val="2"/>
          <w:sz w:val="22"/>
          <w:szCs w:val="22"/>
          <w:rtl/>
        </w:rPr>
        <w:t>סנקציות כלכליות</w:t>
      </w:r>
      <w:r w:rsidRPr="00E72D25">
        <w:rPr>
          <w:rFonts w:ascii="David" w:eastAsia="Aptos" w:hAnsi="David" w:cs="David" w:hint="cs"/>
          <w:kern w:val="2"/>
          <w:sz w:val="22"/>
          <w:szCs w:val="22"/>
          <w:rtl/>
        </w:rPr>
        <w:t>: הגדלת הקנסות והעיצומים הכספיים על הפרות</w:t>
      </w:r>
    </w:p>
    <w:p w14:paraId="28E9FFF0" w14:textId="77777777" w:rsidR="00A61236" w:rsidRDefault="00A61236" w:rsidP="00A61236">
      <w:pPr>
        <w:numPr>
          <w:ilvl w:val="0"/>
          <w:numId w:val="1"/>
        </w:numPr>
        <w:spacing w:line="360" w:lineRule="auto"/>
        <w:jc w:val="both"/>
        <w:rPr>
          <w:rFonts w:ascii="David" w:eastAsia="Aptos" w:hAnsi="David" w:cs="David"/>
          <w:kern w:val="2"/>
          <w:sz w:val="22"/>
          <w:szCs w:val="22"/>
        </w:rPr>
      </w:pPr>
      <w:r w:rsidRPr="00E72D25">
        <w:rPr>
          <w:rFonts w:ascii="David" w:eastAsia="Aptos" w:hAnsi="David" w:cs="David"/>
          <w:b/>
          <w:bCs/>
          <w:kern w:val="2"/>
          <w:sz w:val="22"/>
          <w:szCs w:val="22"/>
          <w:rtl/>
        </w:rPr>
        <w:t>חובת מינוי ממונה הגנת פרטיות (</w:t>
      </w:r>
      <w:r w:rsidRPr="00E72D25">
        <w:rPr>
          <w:rFonts w:ascii="David" w:eastAsia="Aptos" w:hAnsi="David" w:cs="David" w:hint="cs"/>
          <w:b/>
          <w:bCs/>
          <w:kern w:val="2"/>
          <w:sz w:val="22"/>
          <w:szCs w:val="22"/>
        </w:rPr>
        <w:t>Data Protection Officer</w:t>
      </w:r>
      <w:r w:rsidRPr="00E72D25">
        <w:rPr>
          <w:rFonts w:ascii="David" w:eastAsia="Aptos" w:hAnsi="David" w:cs="David" w:hint="cs"/>
          <w:b/>
          <w:bCs/>
          <w:kern w:val="2"/>
          <w:sz w:val="22"/>
          <w:szCs w:val="22"/>
          <w:rtl/>
        </w:rPr>
        <w:t>)</w:t>
      </w:r>
      <w:r>
        <w:rPr>
          <w:rFonts w:ascii="David" w:eastAsia="Aptos" w:hAnsi="David" w:cs="David" w:hint="cs"/>
          <w:b/>
          <w:bCs/>
          <w:kern w:val="2"/>
          <w:sz w:val="22"/>
          <w:szCs w:val="22"/>
          <w:rtl/>
        </w:rPr>
        <w:t xml:space="preserve"> בגופים מסוימים</w:t>
      </w:r>
      <w:r w:rsidRPr="00E72D25">
        <w:rPr>
          <w:rFonts w:ascii="David" w:eastAsia="Aptos" w:hAnsi="David" w:cs="David" w:hint="cs"/>
          <w:kern w:val="2"/>
          <w:sz w:val="22"/>
          <w:szCs w:val="22"/>
          <w:rtl/>
        </w:rPr>
        <w:t>: אחראי לפיקוח על עמידת הארגון בחוקי הפרטיות, ניהול סיכונים, ליווי תהליכי עיבוד מידע והגברת המודעות בארגון</w:t>
      </w:r>
    </w:p>
    <w:p w14:paraId="340C693D" w14:textId="77777777" w:rsidR="00A61236" w:rsidRPr="00E72D25" w:rsidRDefault="00A61236" w:rsidP="00A61236">
      <w:pPr>
        <w:spacing w:line="360" w:lineRule="auto"/>
        <w:ind w:left="720"/>
        <w:jc w:val="both"/>
        <w:rPr>
          <w:rFonts w:ascii="David" w:eastAsia="Aptos" w:hAnsi="David" w:cs="David"/>
          <w:kern w:val="2"/>
          <w:sz w:val="22"/>
          <w:szCs w:val="22"/>
          <w:rtl/>
        </w:rPr>
      </w:pPr>
    </w:p>
    <w:p w14:paraId="5B2E14D6" w14:textId="77777777" w:rsidR="00A61236" w:rsidRDefault="00A61236" w:rsidP="00A61236">
      <w:pPr>
        <w:spacing w:line="360" w:lineRule="auto"/>
        <w:rPr>
          <w:rFonts w:ascii="David" w:eastAsia="Aptos" w:hAnsi="David" w:cs="David"/>
          <w:b/>
          <w:bCs/>
          <w:kern w:val="2"/>
          <w:u w:val="single"/>
          <w:rtl/>
        </w:rPr>
      </w:pPr>
    </w:p>
    <w:p w14:paraId="1314B448" w14:textId="77777777" w:rsidR="00A61236" w:rsidRPr="004A44D3" w:rsidRDefault="00A61236" w:rsidP="00A61236">
      <w:pPr>
        <w:spacing w:line="360" w:lineRule="auto"/>
        <w:rPr>
          <w:rFonts w:ascii="David" w:eastAsia="Aptos" w:hAnsi="David" w:cs="David"/>
          <w:b/>
          <w:bCs/>
          <w:kern w:val="2"/>
          <w:u w:val="single"/>
          <w:rtl/>
        </w:rPr>
      </w:pPr>
      <w:r w:rsidRPr="004A44D3">
        <w:rPr>
          <w:rFonts w:ascii="David" w:eastAsia="Aptos" w:hAnsi="David" w:cs="David" w:hint="cs"/>
          <w:b/>
          <w:bCs/>
          <w:kern w:val="2"/>
          <w:u w:val="single"/>
          <w:rtl/>
        </w:rPr>
        <w:t xml:space="preserve">החובות החלות על </w:t>
      </w:r>
      <w:r>
        <w:rPr>
          <w:rFonts w:ascii="David" w:eastAsia="Aptos" w:hAnsi="David" w:cs="David" w:hint="cs"/>
          <w:b/>
          <w:bCs/>
          <w:kern w:val="2"/>
          <w:u w:val="single"/>
          <w:rtl/>
        </w:rPr>
        <w:t>סוכני ביטוח</w:t>
      </w:r>
      <w:r w:rsidRPr="004A44D3">
        <w:rPr>
          <w:rFonts w:ascii="David" w:eastAsia="Aptos" w:hAnsi="David" w:cs="David" w:hint="cs"/>
          <w:b/>
          <w:bCs/>
          <w:kern w:val="2"/>
          <w:u w:val="single"/>
          <w:rtl/>
        </w:rPr>
        <w:t xml:space="preserve"> בעקבות תיקון 13</w:t>
      </w:r>
    </w:p>
    <w:p w14:paraId="1C54E0F6" w14:textId="77777777" w:rsidR="00A61236" w:rsidRPr="004A44D3" w:rsidRDefault="00A61236" w:rsidP="00A61236">
      <w:pPr>
        <w:pStyle w:val="aa"/>
        <w:numPr>
          <w:ilvl w:val="0"/>
          <w:numId w:val="3"/>
        </w:numPr>
        <w:overflowPunct w:val="0"/>
        <w:autoSpaceDE w:val="0"/>
        <w:autoSpaceDN w:val="0"/>
        <w:adjustRightInd w:val="0"/>
        <w:spacing w:before="120" w:line="360" w:lineRule="auto"/>
        <w:rPr>
          <w:rFonts w:ascii="David" w:hAnsi="David" w:cs="David"/>
          <w:szCs w:val="22"/>
        </w:rPr>
      </w:pPr>
      <w:r>
        <w:rPr>
          <w:rFonts w:ascii="David" w:hAnsi="David" w:cs="David" w:hint="cs"/>
          <w:szCs w:val="22"/>
          <w:rtl/>
        </w:rPr>
        <w:t>קיום</w:t>
      </w:r>
      <w:r w:rsidRPr="004A44D3">
        <w:rPr>
          <w:rFonts w:ascii="David" w:hAnsi="David" w:cs="David"/>
          <w:szCs w:val="22"/>
          <w:rtl/>
        </w:rPr>
        <w:t xml:space="preserve"> </w:t>
      </w:r>
      <w:r>
        <w:rPr>
          <w:rFonts w:ascii="David" w:hAnsi="David" w:cs="David" w:hint="cs"/>
          <w:szCs w:val="22"/>
          <w:rtl/>
        </w:rPr>
        <w:t xml:space="preserve">חובת היידוע של מבקש מידע </w:t>
      </w:r>
      <w:r w:rsidRPr="004A44D3">
        <w:rPr>
          <w:rFonts w:ascii="David" w:hAnsi="David" w:cs="David"/>
          <w:szCs w:val="22"/>
          <w:rtl/>
        </w:rPr>
        <w:t xml:space="preserve"> – סעיף 11 בחוק</w:t>
      </w:r>
      <w:r w:rsidRPr="004A44D3">
        <w:rPr>
          <w:rFonts w:ascii="David" w:hAnsi="David" w:cs="David" w:hint="cs"/>
          <w:szCs w:val="22"/>
          <w:rtl/>
        </w:rPr>
        <w:t>;</w:t>
      </w:r>
    </w:p>
    <w:p w14:paraId="7F46F6AF" w14:textId="77777777" w:rsidR="00A61236" w:rsidRPr="004A44D3" w:rsidRDefault="00A61236" w:rsidP="00A61236">
      <w:pPr>
        <w:pStyle w:val="aa"/>
        <w:numPr>
          <w:ilvl w:val="0"/>
          <w:numId w:val="2"/>
        </w:numPr>
        <w:overflowPunct w:val="0"/>
        <w:autoSpaceDE w:val="0"/>
        <w:autoSpaceDN w:val="0"/>
        <w:adjustRightInd w:val="0"/>
        <w:spacing w:line="360" w:lineRule="auto"/>
        <w:ind w:right="142"/>
        <w:jc w:val="both"/>
        <w:rPr>
          <w:rFonts w:ascii="David" w:eastAsia="David" w:hAnsi="David" w:cs="David"/>
          <w:color w:val="000000"/>
          <w:szCs w:val="22"/>
        </w:rPr>
      </w:pPr>
      <w:r w:rsidRPr="004A44D3">
        <w:rPr>
          <w:rFonts w:ascii="David" w:eastAsia="David" w:hAnsi="David" w:cs="David"/>
          <w:color w:val="000000"/>
          <w:szCs w:val="22"/>
          <w:rtl/>
        </w:rPr>
        <w:t>מסמך הגדרות המאגר – בהתאם לדרישות סעיף 2 לתקנות;</w:t>
      </w:r>
    </w:p>
    <w:p w14:paraId="6072960D" w14:textId="77777777" w:rsidR="00A61236" w:rsidRPr="004A44D3" w:rsidRDefault="00A61236" w:rsidP="00A61236">
      <w:pPr>
        <w:pStyle w:val="aa"/>
        <w:numPr>
          <w:ilvl w:val="0"/>
          <w:numId w:val="2"/>
        </w:numPr>
        <w:overflowPunct w:val="0"/>
        <w:autoSpaceDE w:val="0"/>
        <w:autoSpaceDN w:val="0"/>
        <w:adjustRightInd w:val="0"/>
        <w:spacing w:line="360" w:lineRule="auto"/>
        <w:ind w:right="142"/>
        <w:jc w:val="both"/>
        <w:rPr>
          <w:rFonts w:ascii="David" w:eastAsia="David" w:hAnsi="David" w:cs="David"/>
          <w:color w:val="000000"/>
          <w:szCs w:val="22"/>
        </w:rPr>
      </w:pPr>
      <w:r w:rsidRPr="004A44D3">
        <w:rPr>
          <w:rFonts w:ascii="David" w:eastAsia="David" w:hAnsi="David" w:cs="David"/>
          <w:color w:val="000000"/>
          <w:szCs w:val="22"/>
          <w:rtl/>
        </w:rPr>
        <w:t>מינוי ממונה על אבטחת מידע</w:t>
      </w:r>
      <w:r>
        <w:rPr>
          <w:rFonts w:ascii="David" w:eastAsia="David" w:hAnsi="David" w:cs="David" w:hint="cs"/>
          <w:color w:val="000000"/>
          <w:szCs w:val="22"/>
          <w:rtl/>
        </w:rPr>
        <w:t xml:space="preserve"> בגופים מסוימים</w:t>
      </w:r>
      <w:r w:rsidRPr="004A44D3">
        <w:rPr>
          <w:rFonts w:ascii="David" w:eastAsia="David" w:hAnsi="David" w:cs="David"/>
          <w:color w:val="000000"/>
          <w:szCs w:val="22"/>
          <w:rtl/>
        </w:rPr>
        <w:t>- בהתאם לדרישות סעיף 3 לתקנות;</w:t>
      </w:r>
    </w:p>
    <w:p w14:paraId="26F361F1" w14:textId="77777777" w:rsidR="00A61236" w:rsidRPr="004A44D3" w:rsidRDefault="00A61236" w:rsidP="00A61236">
      <w:pPr>
        <w:pStyle w:val="aa"/>
        <w:numPr>
          <w:ilvl w:val="0"/>
          <w:numId w:val="2"/>
        </w:numPr>
        <w:overflowPunct w:val="0"/>
        <w:autoSpaceDE w:val="0"/>
        <w:autoSpaceDN w:val="0"/>
        <w:adjustRightInd w:val="0"/>
        <w:spacing w:line="360" w:lineRule="auto"/>
        <w:ind w:right="142"/>
        <w:rPr>
          <w:rFonts w:ascii="David" w:eastAsia="David" w:hAnsi="David" w:cs="David"/>
          <w:color w:val="000000"/>
          <w:szCs w:val="22"/>
        </w:rPr>
      </w:pPr>
      <w:r w:rsidRPr="004A44D3">
        <w:rPr>
          <w:rFonts w:ascii="David" w:eastAsia="David" w:hAnsi="David" w:cs="David"/>
          <w:color w:val="000000"/>
          <w:szCs w:val="22"/>
          <w:rtl/>
        </w:rPr>
        <w:t>נוהל אבטחת מידע – בהתאם לדרישות סעיף 4 לתקנות;</w:t>
      </w:r>
    </w:p>
    <w:p w14:paraId="62011FA2" w14:textId="77777777" w:rsidR="00A61236" w:rsidRPr="004A44D3" w:rsidRDefault="00A61236" w:rsidP="00A61236">
      <w:pPr>
        <w:pStyle w:val="aa"/>
        <w:numPr>
          <w:ilvl w:val="0"/>
          <w:numId w:val="2"/>
        </w:numPr>
        <w:overflowPunct w:val="0"/>
        <w:autoSpaceDE w:val="0"/>
        <w:autoSpaceDN w:val="0"/>
        <w:adjustRightInd w:val="0"/>
        <w:spacing w:line="360" w:lineRule="auto"/>
        <w:ind w:right="142"/>
        <w:rPr>
          <w:rFonts w:ascii="David" w:eastAsia="David" w:hAnsi="David" w:cs="David"/>
          <w:color w:val="000000"/>
          <w:szCs w:val="22"/>
        </w:rPr>
      </w:pPr>
      <w:r w:rsidRPr="004A44D3">
        <w:rPr>
          <w:rFonts w:ascii="David" w:eastAsia="David" w:hAnsi="David" w:cs="David"/>
          <w:color w:val="000000"/>
          <w:szCs w:val="22"/>
          <w:rtl/>
        </w:rPr>
        <w:t xml:space="preserve">מיפוי מערכות המאגר וביצוע סקר סיכונים – בהתאם לדרישות </w:t>
      </w:r>
      <w:r w:rsidRPr="004A44D3">
        <w:rPr>
          <w:rFonts w:ascii="David" w:eastAsia="David" w:hAnsi="David" w:cs="David" w:hint="eastAsia"/>
          <w:color w:val="000000"/>
          <w:szCs w:val="22"/>
          <w:rtl/>
        </w:rPr>
        <w:t>סעיף</w:t>
      </w:r>
      <w:r w:rsidRPr="004A44D3">
        <w:rPr>
          <w:rFonts w:ascii="David" w:eastAsia="David" w:hAnsi="David" w:cs="David"/>
          <w:color w:val="000000"/>
          <w:szCs w:val="22"/>
          <w:rtl/>
        </w:rPr>
        <w:t xml:space="preserve"> 5 לתקנות; </w:t>
      </w:r>
    </w:p>
    <w:p w14:paraId="602775D2" w14:textId="77777777" w:rsidR="00A61236" w:rsidRPr="004A44D3" w:rsidRDefault="00A61236" w:rsidP="00A61236">
      <w:pPr>
        <w:pStyle w:val="aa"/>
        <w:numPr>
          <w:ilvl w:val="0"/>
          <w:numId w:val="2"/>
        </w:numPr>
        <w:overflowPunct w:val="0"/>
        <w:autoSpaceDE w:val="0"/>
        <w:autoSpaceDN w:val="0"/>
        <w:adjustRightInd w:val="0"/>
        <w:spacing w:line="360" w:lineRule="auto"/>
        <w:ind w:right="142"/>
        <w:rPr>
          <w:rFonts w:ascii="David" w:eastAsia="David" w:hAnsi="David" w:cs="David"/>
          <w:color w:val="000000"/>
          <w:szCs w:val="22"/>
        </w:rPr>
      </w:pPr>
      <w:r w:rsidRPr="004A44D3">
        <w:rPr>
          <w:rFonts w:ascii="David" w:eastAsia="David" w:hAnsi="David" w:cs="David"/>
          <w:color w:val="000000"/>
          <w:szCs w:val="22"/>
          <w:rtl/>
        </w:rPr>
        <w:t>אבטחה פיזית וסביבתית – בהתאם לדרישות סעיף 6 לתקנות;</w:t>
      </w:r>
    </w:p>
    <w:p w14:paraId="64DFEFAD" w14:textId="77777777" w:rsidR="00A61236" w:rsidRPr="004A44D3" w:rsidRDefault="00A61236" w:rsidP="00A61236">
      <w:pPr>
        <w:pStyle w:val="aa"/>
        <w:numPr>
          <w:ilvl w:val="0"/>
          <w:numId w:val="2"/>
        </w:numPr>
        <w:overflowPunct w:val="0"/>
        <w:autoSpaceDE w:val="0"/>
        <w:autoSpaceDN w:val="0"/>
        <w:adjustRightInd w:val="0"/>
        <w:spacing w:line="360" w:lineRule="auto"/>
        <w:ind w:right="142"/>
        <w:rPr>
          <w:rFonts w:ascii="David" w:eastAsia="David" w:hAnsi="David" w:cs="David"/>
          <w:color w:val="000000"/>
          <w:szCs w:val="22"/>
        </w:rPr>
      </w:pPr>
      <w:r w:rsidRPr="004A44D3">
        <w:rPr>
          <w:rFonts w:ascii="David" w:eastAsia="David" w:hAnsi="David" w:cs="David"/>
          <w:color w:val="000000"/>
          <w:szCs w:val="22"/>
          <w:rtl/>
        </w:rPr>
        <w:t xml:space="preserve">אבטחת מידע בניהול </w:t>
      </w:r>
      <w:proofErr w:type="spellStart"/>
      <w:r w:rsidRPr="004A44D3">
        <w:rPr>
          <w:rFonts w:ascii="David" w:eastAsia="David" w:hAnsi="David" w:cs="David"/>
          <w:color w:val="000000"/>
          <w:szCs w:val="22"/>
          <w:rtl/>
        </w:rPr>
        <w:t>כח</w:t>
      </w:r>
      <w:proofErr w:type="spellEnd"/>
      <w:r w:rsidRPr="004A44D3">
        <w:rPr>
          <w:rFonts w:ascii="David" w:eastAsia="David" w:hAnsi="David" w:cs="David"/>
          <w:color w:val="000000"/>
          <w:szCs w:val="22"/>
          <w:rtl/>
        </w:rPr>
        <w:t xml:space="preserve"> אדם – בהתאם לדרישות סעיף 7 לתקנות; </w:t>
      </w:r>
    </w:p>
    <w:p w14:paraId="7DFA9962" w14:textId="77777777" w:rsidR="00A61236" w:rsidRPr="004A44D3" w:rsidRDefault="00A61236" w:rsidP="00A61236">
      <w:pPr>
        <w:pStyle w:val="aa"/>
        <w:numPr>
          <w:ilvl w:val="0"/>
          <w:numId w:val="2"/>
        </w:numPr>
        <w:overflowPunct w:val="0"/>
        <w:autoSpaceDE w:val="0"/>
        <w:autoSpaceDN w:val="0"/>
        <w:adjustRightInd w:val="0"/>
        <w:spacing w:line="360" w:lineRule="auto"/>
        <w:ind w:right="142"/>
        <w:rPr>
          <w:rFonts w:ascii="David" w:eastAsia="David" w:hAnsi="David" w:cs="David"/>
          <w:color w:val="000000"/>
          <w:szCs w:val="22"/>
        </w:rPr>
      </w:pPr>
      <w:r w:rsidRPr="004A44D3">
        <w:rPr>
          <w:rFonts w:ascii="David" w:eastAsia="David" w:hAnsi="David" w:cs="David"/>
          <w:color w:val="000000"/>
          <w:szCs w:val="22"/>
          <w:rtl/>
        </w:rPr>
        <w:t>הרשאות הגישה – בהתאם לדרישות סעיף 8 לתקנות; </w:t>
      </w:r>
    </w:p>
    <w:p w14:paraId="11DB4721" w14:textId="77777777" w:rsidR="00A61236" w:rsidRPr="004A44D3" w:rsidRDefault="00A61236" w:rsidP="00A61236">
      <w:pPr>
        <w:pStyle w:val="aa"/>
        <w:numPr>
          <w:ilvl w:val="0"/>
          <w:numId w:val="2"/>
        </w:numPr>
        <w:overflowPunct w:val="0"/>
        <w:autoSpaceDE w:val="0"/>
        <w:autoSpaceDN w:val="0"/>
        <w:adjustRightInd w:val="0"/>
        <w:spacing w:line="360" w:lineRule="auto"/>
        <w:ind w:right="142"/>
        <w:rPr>
          <w:rFonts w:ascii="David" w:eastAsia="David" w:hAnsi="David" w:cs="David"/>
          <w:color w:val="000000"/>
          <w:szCs w:val="22"/>
        </w:rPr>
      </w:pPr>
      <w:r w:rsidRPr="004A44D3">
        <w:rPr>
          <w:rFonts w:ascii="David" w:eastAsia="David" w:hAnsi="David" w:cs="David"/>
          <w:color w:val="000000"/>
          <w:szCs w:val="22"/>
          <w:rtl/>
        </w:rPr>
        <w:lastRenderedPageBreak/>
        <w:t>זיהוי ואימות – בהתאם לדרישות סעיף 9 לתקנות</w:t>
      </w:r>
      <w:bookmarkStart w:id="0" w:name="bookmark=id.30j0zll" w:colFirst="0" w:colLast="0"/>
      <w:bookmarkStart w:id="1" w:name="bookmark=id.1fob9te" w:colFirst="0" w:colLast="0"/>
      <w:bookmarkEnd w:id="0"/>
      <w:bookmarkEnd w:id="1"/>
      <w:r w:rsidRPr="004A44D3">
        <w:rPr>
          <w:rFonts w:ascii="David" w:eastAsia="David" w:hAnsi="David" w:cs="David"/>
          <w:color w:val="000000"/>
          <w:szCs w:val="22"/>
        </w:rPr>
        <w:t>; </w:t>
      </w:r>
    </w:p>
    <w:p w14:paraId="244480A7" w14:textId="77777777" w:rsidR="00A61236" w:rsidRPr="004A44D3" w:rsidRDefault="00A61236" w:rsidP="00A61236">
      <w:pPr>
        <w:pStyle w:val="aa"/>
        <w:numPr>
          <w:ilvl w:val="0"/>
          <w:numId w:val="2"/>
        </w:numPr>
        <w:overflowPunct w:val="0"/>
        <w:autoSpaceDE w:val="0"/>
        <w:autoSpaceDN w:val="0"/>
        <w:adjustRightInd w:val="0"/>
        <w:spacing w:line="360" w:lineRule="auto"/>
        <w:ind w:right="142"/>
        <w:rPr>
          <w:rFonts w:ascii="David" w:eastAsia="David" w:hAnsi="David" w:cs="David"/>
          <w:color w:val="000000"/>
          <w:szCs w:val="22"/>
        </w:rPr>
      </w:pPr>
      <w:r w:rsidRPr="004A44D3">
        <w:rPr>
          <w:rFonts w:ascii="David" w:eastAsia="David" w:hAnsi="David" w:cs="David"/>
          <w:color w:val="000000"/>
          <w:szCs w:val="22"/>
          <w:rtl/>
        </w:rPr>
        <w:t xml:space="preserve">בקרת גישה- בהתאם לדרישות סעיף 10 </w:t>
      </w:r>
      <w:r w:rsidRPr="004A44D3">
        <w:rPr>
          <w:rFonts w:ascii="David" w:eastAsia="David" w:hAnsi="David" w:cs="David" w:hint="eastAsia"/>
          <w:color w:val="000000"/>
          <w:szCs w:val="22"/>
          <w:rtl/>
        </w:rPr>
        <w:t>לתקנות</w:t>
      </w:r>
      <w:r w:rsidRPr="004A44D3">
        <w:rPr>
          <w:rFonts w:ascii="David" w:eastAsia="David" w:hAnsi="David" w:cs="David"/>
          <w:color w:val="000000"/>
          <w:szCs w:val="22"/>
          <w:rtl/>
        </w:rPr>
        <w:t>;</w:t>
      </w:r>
    </w:p>
    <w:p w14:paraId="73083AF7" w14:textId="77777777" w:rsidR="00A61236" w:rsidRPr="004A44D3" w:rsidRDefault="00A61236" w:rsidP="00A61236">
      <w:pPr>
        <w:pStyle w:val="aa"/>
        <w:numPr>
          <w:ilvl w:val="0"/>
          <w:numId w:val="2"/>
        </w:numPr>
        <w:overflowPunct w:val="0"/>
        <w:autoSpaceDE w:val="0"/>
        <w:autoSpaceDN w:val="0"/>
        <w:adjustRightInd w:val="0"/>
        <w:spacing w:line="360" w:lineRule="auto"/>
        <w:ind w:right="142"/>
        <w:rPr>
          <w:rFonts w:ascii="David" w:eastAsia="David" w:hAnsi="David" w:cs="David"/>
          <w:color w:val="000000"/>
          <w:szCs w:val="22"/>
        </w:rPr>
      </w:pPr>
      <w:r w:rsidRPr="004A44D3">
        <w:rPr>
          <w:rFonts w:ascii="David" w:eastAsia="David" w:hAnsi="David" w:cs="David"/>
          <w:color w:val="000000"/>
          <w:szCs w:val="22"/>
          <w:rtl/>
        </w:rPr>
        <w:t xml:space="preserve">תיעוד אירוע אבטחה – בהתאם לדרישות סעיף 11 לתקנות;  </w:t>
      </w:r>
    </w:p>
    <w:p w14:paraId="1DCB0DB1" w14:textId="77777777" w:rsidR="00A61236" w:rsidRPr="004A44D3" w:rsidRDefault="00A61236" w:rsidP="00A61236">
      <w:pPr>
        <w:pStyle w:val="aa"/>
        <w:numPr>
          <w:ilvl w:val="0"/>
          <w:numId w:val="2"/>
        </w:numPr>
        <w:overflowPunct w:val="0"/>
        <w:autoSpaceDE w:val="0"/>
        <w:autoSpaceDN w:val="0"/>
        <w:adjustRightInd w:val="0"/>
        <w:spacing w:line="360" w:lineRule="auto"/>
        <w:ind w:right="142"/>
        <w:rPr>
          <w:rFonts w:ascii="David" w:eastAsia="David" w:hAnsi="David" w:cs="David"/>
          <w:color w:val="000000"/>
          <w:szCs w:val="22"/>
        </w:rPr>
      </w:pPr>
      <w:r w:rsidRPr="004A44D3">
        <w:rPr>
          <w:rFonts w:ascii="David" w:eastAsia="David" w:hAnsi="David" w:cs="David"/>
          <w:color w:val="000000"/>
          <w:szCs w:val="22"/>
          <w:rtl/>
        </w:rPr>
        <w:t>שימוש בהתקנים ניידים – בהתאם לדרישות סעיף 12 לתקנות;</w:t>
      </w:r>
    </w:p>
    <w:p w14:paraId="11D911CD" w14:textId="77777777" w:rsidR="00A61236" w:rsidRPr="004A44D3" w:rsidRDefault="00A61236" w:rsidP="00A61236">
      <w:pPr>
        <w:pStyle w:val="aa"/>
        <w:numPr>
          <w:ilvl w:val="0"/>
          <w:numId w:val="2"/>
        </w:numPr>
        <w:overflowPunct w:val="0"/>
        <w:autoSpaceDE w:val="0"/>
        <w:autoSpaceDN w:val="0"/>
        <w:adjustRightInd w:val="0"/>
        <w:spacing w:line="360" w:lineRule="auto"/>
        <w:ind w:right="142"/>
        <w:rPr>
          <w:rFonts w:ascii="David" w:eastAsia="David" w:hAnsi="David" w:cs="David"/>
          <w:color w:val="000000"/>
          <w:szCs w:val="22"/>
        </w:rPr>
      </w:pPr>
      <w:r w:rsidRPr="004A44D3">
        <w:rPr>
          <w:rFonts w:ascii="David" w:eastAsia="David" w:hAnsi="David" w:cs="David"/>
          <w:color w:val="000000"/>
          <w:szCs w:val="22"/>
          <w:rtl/>
        </w:rPr>
        <w:t>ניהול מאובטח ומעודכן של מערכות המאגר – בהתאם לדרישות סעיף 13 לתקנות;</w:t>
      </w:r>
    </w:p>
    <w:p w14:paraId="4F8C986C" w14:textId="77777777" w:rsidR="00A61236" w:rsidRPr="004A44D3" w:rsidRDefault="00A61236" w:rsidP="00A61236">
      <w:pPr>
        <w:pStyle w:val="aa"/>
        <w:numPr>
          <w:ilvl w:val="0"/>
          <w:numId w:val="2"/>
        </w:numPr>
        <w:overflowPunct w:val="0"/>
        <w:autoSpaceDE w:val="0"/>
        <w:autoSpaceDN w:val="0"/>
        <w:adjustRightInd w:val="0"/>
        <w:spacing w:line="360" w:lineRule="auto"/>
        <w:ind w:right="142"/>
        <w:rPr>
          <w:rFonts w:ascii="David" w:eastAsia="David" w:hAnsi="David" w:cs="David"/>
          <w:color w:val="000000"/>
          <w:szCs w:val="22"/>
        </w:rPr>
      </w:pPr>
      <w:r w:rsidRPr="004A44D3">
        <w:rPr>
          <w:rFonts w:ascii="David" w:eastAsia="David" w:hAnsi="David" w:cs="David"/>
          <w:color w:val="000000"/>
          <w:szCs w:val="22"/>
          <w:rtl/>
        </w:rPr>
        <w:t>כתיבת נוהל אבטחת תקשורת – בהתאם לדרישות סעיף 14 לתקנות;</w:t>
      </w:r>
    </w:p>
    <w:p w14:paraId="5FC054DA" w14:textId="77777777" w:rsidR="00A61236" w:rsidRPr="004A44D3" w:rsidRDefault="00A61236" w:rsidP="00A61236">
      <w:pPr>
        <w:pStyle w:val="aa"/>
        <w:numPr>
          <w:ilvl w:val="0"/>
          <w:numId w:val="2"/>
        </w:numPr>
        <w:overflowPunct w:val="0"/>
        <w:autoSpaceDE w:val="0"/>
        <w:autoSpaceDN w:val="0"/>
        <w:adjustRightInd w:val="0"/>
        <w:spacing w:line="360" w:lineRule="auto"/>
        <w:ind w:right="142"/>
        <w:rPr>
          <w:rFonts w:ascii="David" w:eastAsia="David" w:hAnsi="David" w:cs="David"/>
          <w:color w:val="000000"/>
          <w:szCs w:val="22"/>
        </w:rPr>
      </w:pPr>
      <w:r w:rsidRPr="004A44D3">
        <w:rPr>
          <w:rFonts w:ascii="David" w:eastAsia="David" w:hAnsi="David" w:cs="David"/>
          <w:color w:val="000000"/>
          <w:szCs w:val="22"/>
          <w:rtl/>
        </w:rPr>
        <w:t>מיקור חוץ – בהתאם לדרישות סעיף 15 לתקנות; </w:t>
      </w:r>
    </w:p>
    <w:p w14:paraId="7084256E" w14:textId="77777777" w:rsidR="00A61236" w:rsidRPr="004A44D3" w:rsidRDefault="00A61236" w:rsidP="00A61236">
      <w:pPr>
        <w:pStyle w:val="aa"/>
        <w:numPr>
          <w:ilvl w:val="0"/>
          <w:numId w:val="2"/>
        </w:numPr>
        <w:overflowPunct w:val="0"/>
        <w:autoSpaceDE w:val="0"/>
        <w:autoSpaceDN w:val="0"/>
        <w:adjustRightInd w:val="0"/>
        <w:spacing w:line="360" w:lineRule="auto"/>
        <w:ind w:right="142"/>
        <w:rPr>
          <w:rFonts w:ascii="David" w:eastAsia="David" w:hAnsi="David" w:cs="David"/>
          <w:color w:val="000000"/>
          <w:szCs w:val="22"/>
        </w:rPr>
      </w:pPr>
      <w:r w:rsidRPr="004A44D3">
        <w:rPr>
          <w:rFonts w:ascii="David" w:eastAsia="David" w:hAnsi="David" w:cs="David"/>
          <w:color w:val="000000"/>
          <w:szCs w:val="22"/>
          <w:rtl/>
        </w:rPr>
        <w:t>ביצוע ביקורות תקופתיות- בהתאם לדרישות סעיף 16 לתקנות;</w:t>
      </w:r>
    </w:p>
    <w:p w14:paraId="189CDEEE" w14:textId="77777777" w:rsidR="00A61236" w:rsidRPr="004A44D3" w:rsidRDefault="00A61236" w:rsidP="00A61236">
      <w:pPr>
        <w:pStyle w:val="aa"/>
        <w:numPr>
          <w:ilvl w:val="0"/>
          <w:numId w:val="2"/>
        </w:numPr>
        <w:overflowPunct w:val="0"/>
        <w:autoSpaceDE w:val="0"/>
        <w:autoSpaceDN w:val="0"/>
        <w:adjustRightInd w:val="0"/>
        <w:spacing w:line="360" w:lineRule="auto"/>
        <w:ind w:right="142"/>
        <w:rPr>
          <w:rFonts w:ascii="David" w:eastAsia="David" w:hAnsi="David" w:cs="David"/>
          <w:color w:val="000000"/>
          <w:szCs w:val="22"/>
        </w:rPr>
      </w:pPr>
      <w:r w:rsidRPr="004A44D3">
        <w:rPr>
          <w:rFonts w:ascii="David" w:eastAsia="David" w:hAnsi="David" w:cs="David"/>
          <w:color w:val="000000"/>
          <w:szCs w:val="22"/>
          <w:rtl/>
        </w:rPr>
        <w:t>שמירת נתונים – בהתאם לדרישות סעיף 17 לתקנות; </w:t>
      </w:r>
    </w:p>
    <w:p w14:paraId="55210E93" w14:textId="77777777" w:rsidR="00A61236" w:rsidRPr="004A44D3" w:rsidRDefault="00A61236" w:rsidP="00A61236">
      <w:pPr>
        <w:pStyle w:val="aa"/>
        <w:numPr>
          <w:ilvl w:val="0"/>
          <w:numId w:val="2"/>
        </w:numPr>
        <w:overflowPunct w:val="0"/>
        <w:autoSpaceDE w:val="0"/>
        <w:autoSpaceDN w:val="0"/>
        <w:adjustRightInd w:val="0"/>
        <w:spacing w:line="360" w:lineRule="auto"/>
        <w:ind w:right="142"/>
        <w:rPr>
          <w:rFonts w:ascii="David" w:eastAsia="David" w:hAnsi="David" w:cs="David"/>
          <w:color w:val="000000"/>
          <w:szCs w:val="22"/>
        </w:rPr>
      </w:pPr>
      <w:r w:rsidRPr="004A44D3">
        <w:rPr>
          <w:rFonts w:ascii="David" w:eastAsia="David" w:hAnsi="David" w:cs="David"/>
          <w:color w:val="000000"/>
          <w:szCs w:val="22"/>
          <w:rtl/>
        </w:rPr>
        <w:t>גיבוי ושחזור של נתוני אבטחה- בהתאם לדרישות סעיף 18 לתקנות;</w:t>
      </w:r>
    </w:p>
    <w:p w14:paraId="70390D7E" w14:textId="77777777" w:rsidR="00A61236" w:rsidRDefault="00A61236" w:rsidP="00A61236">
      <w:pPr>
        <w:pStyle w:val="aa"/>
        <w:numPr>
          <w:ilvl w:val="0"/>
          <w:numId w:val="2"/>
        </w:numPr>
        <w:overflowPunct w:val="0"/>
        <w:autoSpaceDE w:val="0"/>
        <w:autoSpaceDN w:val="0"/>
        <w:adjustRightInd w:val="0"/>
        <w:spacing w:line="360" w:lineRule="auto"/>
        <w:ind w:right="142"/>
        <w:rPr>
          <w:rFonts w:ascii="David" w:eastAsia="David" w:hAnsi="David" w:cs="David"/>
          <w:color w:val="000000"/>
          <w:szCs w:val="22"/>
        </w:rPr>
      </w:pPr>
      <w:r w:rsidRPr="004A44D3">
        <w:rPr>
          <w:rFonts w:ascii="David" w:eastAsia="David" w:hAnsi="David" w:cs="David"/>
          <w:color w:val="000000"/>
          <w:szCs w:val="22"/>
          <w:rtl/>
        </w:rPr>
        <w:t>אחריות לאבטחת המידע – בהתאם לדרישות סעיף 19 לתקנות</w:t>
      </w:r>
      <w:r>
        <w:rPr>
          <w:rFonts w:ascii="David" w:eastAsia="David" w:hAnsi="David" w:cs="David" w:hint="cs"/>
          <w:color w:val="000000"/>
          <w:szCs w:val="22"/>
          <w:rtl/>
        </w:rPr>
        <w:t>;</w:t>
      </w:r>
    </w:p>
    <w:p w14:paraId="57C790C9" w14:textId="77777777" w:rsidR="00A61236" w:rsidRPr="008D05CF" w:rsidRDefault="00A61236" w:rsidP="00A61236">
      <w:pPr>
        <w:pStyle w:val="aa"/>
        <w:ind w:right="142"/>
        <w:rPr>
          <w:rFonts w:ascii="David" w:eastAsia="David" w:hAnsi="David" w:cs="David"/>
          <w:color w:val="000000"/>
          <w:sz w:val="10"/>
          <w:szCs w:val="10"/>
          <w:rtl/>
        </w:rPr>
      </w:pPr>
    </w:p>
    <w:p w14:paraId="1E0A4C28" w14:textId="77777777" w:rsidR="00A61236" w:rsidRPr="00A61236" w:rsidRDefault="00A61236" w:rsidP="00A61236">
      <w:pPr>
        <w:rPr>
          <w:rFonts w:ascii="David" w:eastAsia="Aptos" w:hAnsi="David" w:cs="David"/>
          <w:b/>
          <w:bCs/>
          <w:kern w:val="2"/>
          <w:szCs w:val="22"/>
        </w:rPr>
      </w:pPr>
      <w:r w:rsidRPr="00A61236">
        <w:rPr>
          <w:rFonts w:ascii="David" w:eastAsia="Aptos" w:hAnsi="David" w:cs="David"/>
          <w:b/>
          <w:bCs/>
          <w:kern w:val="2"/>
          <w:szCs w:val="22"/>
        </w:rPr>
        <w:t>*</w:t>
      </w:r>
      <w:r w:rsidRPr="00A61236">
        <w:rPr>
          <w:rFonts w:ascii="David" w:eastAsia="Aptos" w:hAnsi="David" w:cs="David" w:hint="cs"/>
          <w:b/>
          <w:bCs/>
          <w:kern w:val="2"/>
          <w:szCs w:val="22"/>
          <w:rtl/>
        </w:rPr>
        <w:t xml:space="preserve">התכולה הנ"ל הינה בהתאם לרמת אבטחת מאגר המידע (כאמור בתקנה 21 בתקנות) </w:t>
      </w:r>
    </w:p>
    <w:p w14:paraId="1FF060CD" w14:textId="77777777" w:rsidR="00A61236" w:rsidRDefault="00A61236" w:rsidP="00A61236">
      <w:pPr>
        <w:pStyle w:val="aa"/>
        <w:ind w:right="142" w:hanging="721"/>
        <w:rPr>
          <w:rFonts w:ascii="David" w:eastAsia="David" w:hAnsi="David" w:cs="David"/>
          <w:b/>
          <w:bCs/>
          <w:color w:val="000000"/>
          <w:sz w:val="10"/>
          <w:szCs w:val="10"/>
          <w:rtl/>
        </w:rPr>
      </w:pPr>
    </w:p>
    <w:p w14:paraId="2270DE38" w14:textId="77777777" w:rsidR="00A61236" w:rsidRDefault="00A61236" w:rsidP="00A61236">
      <w:pPr>
        <w:pStyle w:val="aa"/>
        <w:ind w:right="142" w:hanging="721"/>
        <w:rPr>
          <w:rFonts w:ascii="David" w:eastAsia="David" w:hAnsi="David" w:cs="David"/>
          <w:b/>
          <w:bCs/>
          <w:color w:val="000000"/>
          <w:sz w:val="10"/>
          <w:szCs w:val="10"/>
          <w:rtl/>
        </w:rPr>
      </w:pPr>
    </w:p>
    <w:p w14:paraId="14C98732" w14:textId="77777777" w:rsidR="00A61236" w:rsidRPr="008D05CF" w:rsidRDefault="00A61236" w:rsidP="00A61236">
      <w:pPr>
        <w:pStyle w:val="aa"/>
        <w:ind w:right="142" w:hanging="721"/>
        <w:rPr>
          <w:rFonts w:ascii="David" w:eastAsia="David" w:hAnsi="David" w:cs="David"/>
          <w:b/>
          <w:bCs/>
          <w:color w:val="000000"/>
          <w:sz w:val="10"/>
          <w:szCs w:val="10"/>
          <w:rtl/>
        </w:rPr>
      </w:pPr>
    </w:p>
    <w:p w14:paraId="45E08327" w14:textId="77777777" w:rsidR="00A61236" w:rsidRDefault="00A61236" w:rsidP="00A61236">
      <w:pPr>
        <w:pStyle w:val="aa"/>
        <w:ind w:right="142" w:hanging="721"/>
        <w:rPr>
          <w:rFonts w:ascii="David" w:eastAsia="David" w:hAnsi="David" w:cs="David"/>
          <w:b/>
          <w:bCs/>
          <w:color w:val="000000"/>
          <w:szCs w:val="22"/>
          <w:rtl/>
        </w:rPr>
      </w:pPr>
    </w:p>
    <w:p w14:paraId="63BE50D1" w14:textId="125444CF" w:rsidR="00A61236" w:rsidRPr="0046567B" w:rsidRDefault="00A61236" w:rsidP="00A61236">
      <w:pPr>
        <w:pStyle w:val="aa"/>
        <w:ind w:right="142" w:hanging="721"/>
        <w:rPr>
          <w:rFonts w:ascii="David" w:eastAsia="David" w:hAnsi="David" w:cs="David"/>
          <w:b/>
          <w:bCs/>
          <w:color w:val="000000"/>
          <w:szCs w:val="22"/>
          <w:rtl/>
        </w:rPr>
      </w:pPr>
      <w:r w:rsidRPr="0046567B">
        <w:rPr>
          <w:rFonts w:ascii="David" w:eastAsia="David" w:hAnsi="David" w:cs="David" w:hint="cs"/>
          <w:b/>
          <w:bCs/>
          <w:color w:val="000000"/>
          <w:szCs w:val="22"/>
          <w:rtl/>
        </w:rPr>
        <w:t>בנוסף לחובות הנ"ל ולהשלמת חובת השקיפות והיידוע יש לפעול כלהלן:</w:t>
      </w:r>
    </w:p>
    <w:p w14:paraId="172F528C" w14:textId="77777777" w:rsidR="00A61236" w:rsidRDefault="00A61236" w:rsidP="00A61236">
      <w:pPr>
        <w:pStyle w:val="aa"/>
        <w:numPr>
          <w:ilvl w:val="0"/>
          <w:numId w:val="2"/>
        </w:numPr>
        <w:overflowPunct w:val="0"/>
        <w:autoSpaceDE w:val="0"/>
        <w:autoSpaceDN w:val="0"/>
        <w:adjustRightInd w:val="0"/>
        <w:spacing w:line="360" w:lineRule="auto"/>
        <w:ind w:right="142"/>
        <w:rPr>
          <w:rFonts w:ascii="David" w:eastAsia="David" w:hAnsi="David" w:cs="David"/>
          <w:color w:val="000000"/>
          <w:szCs w:val="22"/>
        </w:rPr>
      </w:pPr>
      <w:r>
        <w:rPr>
          <w:rFonts w:ascii="David" w:eastAsia="David" w:hAnsi="David" w:cs="David" w:hint="cs"/>
          <w:color w:val="000000"/>
          <w:szCs w:val="22"/>
          <w:rtl/>
        </w:rPr>
        <w:t>כתיבת מדיניות פרטיות ותנאי שימוש;</w:t>
      </w:r>
    </w:p>
    <w:p w14:paraId="0D7E7890" w14:textId="77777777" w:rsidR="00A61236" w:rsidRDefault="00A61236" w:rsidP="00A61236">
      <w:pPr>
        <w:pStyle w:val="aa"/>
        <w:numPr>
          <w:ilvl w:val="0"/>
          <w:numId w:val="2"/>
        </w:numPr>
        <w:overflowPunct w:val="0"/>
        <w:autoSpaceDE w:val="0"/>
        <w:autoSpaceDN w:val="0"/>
        <w:adjustRightInd w:val="0"/>
        <w:spacing w:line="360" w:lineRule="auto"/>
        <w:ind w:right="142"/>
        <w:rPr>
          <w:rFonts w:ascii="David" w:eastAsia="David" w:hAnsi="David" w:cs="David"/>
          <w:color w:val="000000"/>
          <w:szCs w:val="22"/>
        </w:rPr>
      </w:pPr>
      <w:r>
        <w:rPr>
          <w:rFonts w:ascii="David" w:eastAsia="David" w:hAnsi="David" w:cs="David" w:hint="cs"/>
          <w:color w:val="000000"/>
          <w:szCs w:val="22"/>
          <w:rtl/>
        </w:rPr>
        <w:t xml:space="preserve">כתיבת נוהל שימוש ב- </w:t>
      </w:r>
      <w:r>
        <w:rPr>
          <w:rFonts w:ascii="David" w:eastAsia="David" w:hAnsi="David" w:cs="David"/>
          <w:color w:val="000000"/>
          <w:szCs w:val="22"/>
        </w:rPr>
        <w:t>AI</w:t>
      </w:r>
      <w:r>
        <w:rPr>
          <w:rFonts w:ascii="David" w:eastAsia="David" w:hAnsi="David" w:cs="David" w:hint="cs"/>
          <w:color w:val="000000"/>
          <w:szCs w:val="22"/>
          <w:rtl/>
        </w:rPr>
        <w:t xml:space="preserve"> (בינה מלאכותית);</w:t>
      </w:r>
    </w:p>
    <w:p w14:paraId="47E3EC87" w14:textId="77777777" w:rsidR="00A61236" w:rsidRDefault="00A61236" w:rsidP="00A61236">
      <w:pPr>
        <w:pStyle w:val="aa"/>
        <w:numPr>
          <w:ilvl w:val="0"/>
          <w:numId w:val="2"/>
        </w:numPr>
        <w:overflowPunct w:val="0"/>
        <w:autoSpaceDE w:val="0"/>
        <w:autoSpaceDN w:val="0"/>
        <w:adjustRightInd w:val="0"/>
        <w:spacing w:line="360" w:lineRule="auto"/>
        <w:ind w:right="142"/>
        <w:rPr>
          <w:rFonts w:ascii="David" w:eastAsia="David" w:hAnsi="David" w:cs="David"/>
          <w:color w:val="000000"/>
          <w:szCs w:val="22"/>
        </w:rPr>
      </w:pPr>
      <w:r>
        <w:rPr>
          <w:rFonts w:ascii="David" w:eastAsia="David" w:hAnsi="David" w:cs="David" w:hint="cs"/>
          <w:color w:val="000000"/>
          <w:szCs w:val="22"/>
          <w:rtl/>
        </w:rPr>
        <w:t>כתיבת נוהל עבודה מרחוק;</w:t>
      </w:r>
    </w:p>
    <w:p w14:paraId="0DF5C413" w14:textId="77777777" w:rsidR="00A61236" w:rsidRDefault="00A61236" w:rsidP="00A61236">
      <w:pPr>
        <w:pStyle w:val="aa"/>
        <w:numPr>
          <w:ilvl w:val="0"/>
          <w:numId w:val="2"/>
        </w:numPr>
        <w:overflowPunct w:val="0"/>
        <w:autoSpaceDE w:val="0"/>
        <w:autoSpaceDN w:val="0"/>
        <w:adjustRightInd w:val="0"/>
        <w:spacing w:line="360" w:lineRule="auto"/>
        <w:ind w:right="142"/>
        <w:rPr>
          <w:rFonts w:ascii="David" w:eastAsia="David" w:hAnsi="David" w:cs="David"/>
          <w:color w:val="000000"/>
          <w:szCs w:val="22"/>
        </w:rPr>
      </w:pPr>
      <w:r>
        <w:rPr>
          <w:rFonts w:ascii="David" w:eastAsia="David" w:hAnsi="David" w:cs="David" w:hint="cs"/>
          <w:color w:val="000000"/>
          <w:szCs w:val="22"/>
          <w:rtl/>
        </w:rPr>
        <w:t>כתיבת נוהל לאיסוף מידע והסכמת לקוחות;</w:t>
      </w:r>
    </w:p>
    <w:p w14:paraId="13DCB0E8" w14:textId="77777777" w:rsidR="00A61236" w:rsidRDefault="00A61236" w:rsidP="00A61236">
      <w:pPr>
        <w:spacing w:line="360" w:lineRule="auto"/>
        <w:jc w:val="both"/>
        <w:rPr>
          <w:rFonts w:ascii="David" w:eastAsia="Aptos" w:hAnsi="David" w:cs="David"/>
          <w:b/>
          <w:bCs/>
          <w:kern w:val="2"/>
          <w:sz w:val="22"/>
          <w:szCs w:val="22"/>
          <w:u w:val="single"/>
          <w:rtl/>
        </w:rPr>
      </w:pPr>
    </w:p>
    <w:p w14:paraId="0A59A76C" w14:textId="005C051A" w:rsidR="00B8754D" w:rsidRPr="00A61236" w:rsidRDefault="00A61236" w:rsidP="00A61236">
      <w:pPr>
        <w:spacing w:line="360" w:lineRule="auto"/>
        <w:jc w:val="both"/>
        <w:rPr>
          <w:rFonts w:ascii="David" w:eastAsia="Aptos" w:hAnsi="David" w:cs="David"/>
          <w:kern w:val="2"/>
          <w:sz w:val="22"/>
          <w:szCs w:val="22"/>
        </w:rPr>
      </w:pPr>
      <w:r w:rsidRPr="00E72D25">
        <w:rPr>
          <w:rFonts w:ascii="David" w:eastAsia="Aptos" w:hAnsi="David" w:cs="David"/>
          <w:b/>
          <w:bCs/>
          <w:kern w:val="2"/>
          <w:sz w:val="22"/>
          <w:szCs w:val="22"/>
          <w:u w:val="single"/>
          <w:rtl/>
        </w:rPr>
        <w:t>הבהרה</w:t>
      </w:r>
      <w:r w:rsidRPr="00E72D25">
        <w:rPr>
          <w:rFonts w:ascii="David" w:eastAsia="Aptos" w:hAnsi="David" w:cs="David"/>
          <w:b/>
          <w:bCs/>
          <w:kern w:val="2"/>
          <w:sz w:val="22"/>
          <w:szCs w:val="22"/>
          <w:rtl/>
        </w:rPr>
        <w:t xml:space="preserve">: עדכון זה נועד לספק </w:t>
      </w:r>
      <w:r w:rsidRPr="00E72D25">
        <w:rPr>
          <w:rFonts w:ascii="David" w:eastAsia="Aptos" w:hAnsi="David" w:cs="David"/>
          <w:b/>
          <w:bCs/>
          <w:kern w:val="2"/>
          <w:sz w:val="22"/>
          <w:szCs w:val="22"/>
          <w:u w:val="single"/>
          <w:rtl/>
        </w:rPr>
        <w:t>מידע כללי ותמציתי בלבד</w:t>
      </w:r>
      <w:r w:rsidRPr="00E72D25">
        <w:rPr>
          <w:rFonts w:ascii="David" w:eastAsia="Aptos" w:hAnsi="David" w:cs="David"/>
          <w:b/>
          <w:bCs/>
          <w:kern w:val="2"/>
          <w:sz w:val="22"/>
          <w:szCs w:val="22"/>
          <w:rtl/>
        </w:rPr>
        <w:t>. הוא אינו מהווה ניתוח מלא או שלם של הסוגיות הנידונות</w:t>
      </w:r>
      <w:r w:rsidRPr="00E72D25">
        <w:rPr>
          <w:rFonts w:ascii="David" w:eastAsia="Aptos" w:hAnsi="David" w:cs="David"/>
          <w:b/>
          <w:bCs/>
          <w:kern w:val="2"/>
          <w:sz w:val="22"/>
          <w:szCs w:val="22"/>
        </w:rPr>
        <w:t>,</w:t>
      </w:r>
      <w:r w:rsidRPr="00E72D25">
        <w:rPr>
          <w:rFonts w:ascii="David" w:eastAsia="Aptos" w:hAnsi="David" w:cs="David"/>
          <w:b/>
          <w:bCs/>
          <w:kern w:val="2"/>
          <w:sz w:val="22"/>
          <w:szCs w:val="22"/>
          <w:rtl/>
        </w:rPr>
        <w:t xml:space="preserve"> אינו מהווה חוות דעת משפטית או ייעוץ משפטי ואין להסתמך עליו.</w:t>
      </w:r>
    </w:p>
    <w:sectPr w:rsidR="00B8754D" w:rsidRPr="00A61236" w:rsidSect="00142D0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avid">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4873"/>
    <w:multiLevelType w:val="hybridMultilevel"/>
    <w:tmpl w:val="BDD085DC"/>
    <w:lvl w:ilvl="0" w:tplc="E33052B8">
      <w:start w:val="1"/>
      <w:numFmt w:val="bullet"/>
      <w:lvlText w:val=""/>
      <w:lvlJc w:val="left"/>
      <w:pPr>
        <w:ind w:left="360" w:hanging="360"/>
      </w:pPr>
      <w:rPr>
        <w:rFonts w:ascii="Symbol" w:hAnsi="Symbol" w:hint="default"/>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F21205D"/>
    <w:multiLevelType w:val="hybridMultilevel"/>
    <w:tmpl w:val="21BEBA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0024DF"/>
    <w:multiLevelType w:val="hybridMultilevel"/>
    <w:tmpl w:val="852A1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25069802">
    <w:abstractNumId w:val="1"/>
  </w:num>
  <w:num w:numId="2" w16cid:durableId="1708217244">
    <w:abstractNumId w:val="2"/>
  </w:num>
  <w:num w:numId="3" w16cid:durableId="89203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236"/>
    <w:rsid w:val="00142D03"/>
    <w:rsid w:val="002E7A11"/>
    <w:rsid w:val="00310D1C"/>
    <w:rsid w:val="00353780"/>
    <w:rsid w:val="007A2887"/>
    <w:rsid w:val="007E7C2A"/>
    <w:rsid w:val="00A61236"/>
    <w:rsid w:val="00AF1B4A"/>
    <w:rsid w:val="00B60C95"/>
    <w:rsid w:val="00B8754D"/>
    <w:rsid w:val="00C14A9F"/>
    <w:rsid w:val="00C91059"/>
    <w:rsid w:val="00D51F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CC6E7"/>
  <w15:chartTrackingRefBased/>
  <w15:docId w15:val="{C2CC6B6F-EFBD-4C05-8547-EBAA5DAA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236"/>
    <w:pPr>
      <w:bidi/>
      <w:spacing w:after="0" w:line="240" w:lineRule="auto"/>
    </w:pPr>
    <w:rPr>
      <w:rFonts w:ascii="Times New Roman" w:eastAsia="Times New Roman" w:hAnsi="Times New Roman" w:cs="Times New Roman"/>
      <w:kern w:val="0"/>
      <w:sz w:val="24"/>
      <w:szCs w:val="24"/>
      <w:lang w:eastAsia="he-IL"/>
    </w:rPr>
  </w:style>
  <w:style w:type="paragraph" w:styleId="1">
    <w:name w:val="heading 1"/>
    <w:basedOn w:val="a"/>
    <w:next w:val="a"/>
    <w:link w:val="10"/>
    <w:uiPriority w:val="9"/>
    <w:qFormat/>
    <w:rsid w:val="00A612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612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6123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6123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6123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6123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6123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6123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6123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C14A9F"/>
    <w:rPr>
      <w:i/>
      <w:iCs/>
    </w:rPr>
  </w:style>
  <w:style w:type="character" w:customStyle="1" w:styleId="10">
    <w:name w:val="כותרת 1 תו"/>
    <w:basedOn w:val="a0"/>
    <w:link w:val="1"/>
    <w:uiPriority w:val="9"/>
    <w:rsid w:val="00A61236"/>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A61236"/>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A61236"/>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A61236"/>
    <w:rPr>
      <w:rFonts w:eastAsiaTheme="majorEastAsia" w:cstheme="majorBidi"/>
      <w:i/>
      <w:iCs/>
      <w:color w:val="0F4761" w:themeColor="accent1" w:themeShade="BF"/>
    </w:rPr>
  </w:style>
  <w:style w:type="character" w:customStyle="1" w:styleId="50">
    <w:name w:val="כותרת 5 תו"/>
    <w:basedOn w:val="a0"/>
    <w:link w:val="5"/>
    <w:uiPriority w:val="9"/>
    <w:semiHidden/>
    <w:rsid w:val="00A61236"/>
    <w:rPr>
      <w:rFonts w:eastAsiaTheme="majorEastAsia" w:cstheme="majorBidi"/>
      <w:color w:val="0F4761" w:themeColor="accent1" w:themeShade="BF"/>
    </w:rPr>
  </w:style>
  <w:style w:type="character" w:customStyle="1" w:styleId="60">
    <w:name w:val="כותרת 6 תו"/>
    <w:basedOn w:val="a0"/>
    <w:link w:val="6"/>
    <w:uiPriority w:val="9"/>
    <w:semiHidden/>
    <w:rsid w:val="00A61236"/>
    <w:rPr>
      <w:rFonts w:eastAsiaTheme="majorEastAsia" w:cstheme="majorBidi"/>
      <w:i/>
      <w:iCs/>
      <w:color w:val="595959" w:themeColor="text1" w:themeTint="A6"/>
    </w:rPr>
  </w:style>
  <w:style w:type="character" w:customStyle="1" w:styleId="70">
    <w:name w:val="כותרת 7 תו"/>
    <w:basedOn w:val="a0"/>
    <w:link w:val="7"/>
    <w:uiPriority w:val="9"/>
    <w:semiHidden/>
    <w:rsid w:val="00A61236"/>
    <w:rPr>
      <w:rFonts w:eastAsiaTheme="majorEastAsia" w:cstheme="majorBidi"/>
      <w:color w:val="595959" w:themeColor="text1" w:themeTint="A6"/>
    </w:rPr>
  </w:style>
  <w:style w:type="character" w:customStyle="1" w:styleId="80">
    <w:name w:val="כותרת 8 תו"/>
    <w:basedOn w:val="a0"/>
    <w:link w:val="8"/>
    <w:uiPriority w:val="9"/>
    <w:semiHidden/>
    <w:rsid w:val="00A61236"/>
    <w:rPr>
      <w:rFonts w:eastAsiaTheme="majorEastAsia" w:cstheme="majorBidi"/>
      <w:i/>
      <w:iCs/>
      <w:color w:val="272727" w:themeColor="text1" w:themeTint="D8"/>
    </w:rPr>
  </w:style>
  <w:style w:type="character" w:customStyle="1" w:styleId="90">
    <w:name w:val="כותרת 9 תו"/>
    <w:basedOn w:val="a0"/>
    <w:link w:val="9"/>
    <w:uiPriority w:val="9"/>
    <w:semiHidden/>
    <w:rsid w:val="00A61236"/>
    <w:rPr>
      <w:rFonts w:eastAsiaTheme="majorEastAsia" w:cstheme="majorBidi"/>
      <w:color w:val="272727" w:themeColor="text1" w:themeTint="D8"/>
    </w:rPr>
  </w:style>
  <w:style w:type="paragraph" w:styleId="a4">
    <w:name w:val="Title"/>
    <w:basedOn w:val="a"/>
    <w:next w:val="a"/>
    <w:link w:val="a5"/>
    <w:uiPriority w:val="10"/>
    <w:qFormat/>
    <w:rsid w:val="00A61236"/>
    <w:pPr>
      <w:spacing w:after="80"/>
      <w:contextualSpacing/>
    </w:pPr>
    <w:rPr>
      <w:rFonts w:asciiTheme="majorHAnsi" w:eastAsiaTheme="majorEastAsia" w:hAnsiTheme="majorHAnsi" w:cstheme="majorBidi"/>
      <w:spacing w:val="-10"/>
      <w:kern w:val="28"/>
      <w:sz w:val="56"/>
      <w:szCs w:val="56"/>
    </w:rPr>
  </w:style>
  <w:style w:type="character" w:customStyle="1" w:styleId="a5">
    <w:name w:val="כותרת טקסט תו"/>
    <w:basedOn w:val="a0"/>
    <w:link w:val="a4"/>
    <w:uiPriority w:val="10"/>
    <w:rsid w:val="00A61236"/>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A61236"/>
    <w:pPr>
      <w:numPr>
        <w:ilvl w:val="1"/>
      </w:numPr>
    </w:pPr>
    <w:rPr>
      <w:rFonts w:eastAsiaTheme="majorEastAsia" w:cstheme="majorBidi"/>
      <w:color w:val="595959" w:themeColor="text1" w:themeTint="A6"/>
      <w:spacing w:val="15"/>
      <w:sz w:val="28"/>
      <w:szCs w:val="28"/>
    </w:rPr>
  </w:style>
  <w:style w:type="character" w:customStyle="1" w:styleId="a7">
    <w:name w:val="כותרת משנה תו"/>
    <w:basedOn w:val="a0"/>
    <w:link w:val="a6"/>
    <w:uiPriority w:val="11"/>
    <w:rsid w:val="00A61236"/>
    <w:rPr>
      <w:rFonts w:eastAsiaTheme="majorEastAsia" w:cstheme="majorBidi"/>
      <w:color w:val="595959" w:themeColor="text1" w:themeTint="A6"/>
      <w:spacing w:val="15"/>
      <w:sz w:val="28"/>
      <w:szCs w:val="28"/>
    </w:rPr>
  </w:style>
  <w:style w:type="paragraph" w:styleId="a8">
    <w:name w:val="Quote"/>
    <w:basedOn w:val="a"/>
    <w:next w:val="a"/>
    <w:link w:val="a9"/>
    <w:uiPriority w:val="29"/>
    <w:qFormat/>
    <w:rsid w:val="00A61236"/>
    <w:pPr>
      <w:spacing w:before="160"/>
      <w:jc w:val="center"/>
    </w:pPr>
    <w:rPr>
      <w:i/>
      <w:iCs/>
      <w:color w:val="404040" w:themeColor="text1" w:themeTint="BF"/>
    </w:rPr>
  </w:style>
  <w:style w:type="character" w:customStyle="1" w:styleId="a9">
    <w:name w:val="ציטוט תו"/>
    <w:basedOn w:val="a0"/>
    <w:link w:val="a8"/>
    <w:uiPriority w:val="29"/>
    <w:rsid w:val="00A61236"/>
    <w:rPr>
      <w:i/>
      <w:iCs/>
      <w:color w:val="404040" w:themeColor="text1" w:themeTint="BF"/>
    </w:rPr>
  </w:style>
  <w:style w:type="paragraph" w:styleId="aa">
    <w:name w:val="List Paragraph"/>
    <w:aliases w:val="LP1"/>
    <w:basedOn w:val="a"/>
    <w:link w:val="ab"/>
    <w:uiPriority w:val="34"/>
    <w:qFormat/>
    <w:rsid w:val="00A61236"/>
    <w:pPr>
      <w:ind w:left="720"/>
      <w:contextualSpacing/>
    </w:pPr>
  </w:style>
  <w:style w:type="character" w:styleId="ac">
    <w:name w:val="Intense Emphasis"/>
    <w:basedOn w:val="a0"/>
    <w:uiPriority w:val="21"/>
    <w:qFormat/>
    <w:rsid w:val="00A61236"/>
    <w:rPr>
      <w:i/>
      <w:iCs/>
      <w:color w:val="0F4761" w:themeColor="accent1" w:themeShade="BF"/>
    </w:rPr>
  </w:style>
  <w:style w:type="paragraph" w:styleId="ad">
    <w:name w:val="Intense Quote"/>
    <w:basedOn w:val="a"/>
    <w:next w:val="a"/>
    <w:link w:val="ae"/>
    <w:uiPriority w:val="30"/>
    <w:qFormat/>
    <w:rsid w:val="00A61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ציטוט חזק תו"/>
    <w:basedOn w:val="a0"/>
    <w:link w:val="ad"/>
    <w:uiPriority w:val="30"/>
    <w:rsid w:val="00A61236"/>
    <w:rPr>
      <w:i/>
      <w:iCs/>
      <w:color w:val="0F4761" w:themeColor="accent1" w:themeShade="BF"/>
    </w:rPr>
  </w:style>
  <w:style w:type="character" w:styleId="af">
    <w:name w:val="Intense Reference"/>
    <w:basedOn w:val="a0"/>
    <w:uiPriority w:val="32"/>
    <w:qFormat/>
    <w:rsid w:val="00A61236"/>
    <w:rPr>
      <w:b/>
      <w:bCs/>
      <w:smallCaps/>
      <w:color w:val="0F4761" w:themeColor="accent1" w:themeShade="BF"/>
      <w:spacing w:val="5"/>
    </w:rPr>
  </w:style>
  <w:style w:type="character" w:customStyle="1" w:styleId="ab">
    <w:name w:val="פיסקת רשימה תו"/>
    <w:aliases w:val="LP1 תו"/>
    <w:link w:val="aa"/>
    <w:uiPriority w:val="34"/>
    <w:locked/>
    <w:rsid w:val="00A61236"/>
  </w:style>
  <w:style w:type="paragraph" w:styleId="af0">
    <w:name w:val="Revision"/>
    <w:hidden/>
    <w:uiPriority w:val="99"/>
    <w:semiHidden/>
    <w:rsid w:val="007E7C2A"/>
    <w:pPr>
      <w:spacing w:after="0" w:line="240" w:lineRule="auto"/>
    </w:pPr>
    <w:rPr>
      <w:rFonts w:ascii="Times New Roman" w:eastAsia="Times New Roman" w:hAnsi="Times New Roman" w:cs="Times New Roman"/>
      <w:kern w:val="0"/>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befaf4-a901-440a-9684-8153cf877e68">
      <Terms xmlns="http://schemas.microsoft.com/office/infopath/2007/PartnerControls"/>
    </lcf76f155ced4ddcb4097134ff3c332f>
    <TaxCatchAll xmlns="72d1d5c7-7327-4858-bb1d-66abfb6a95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AD9B0B1843A64891CFD6636D22BB34" ma:contentTypeVersion="18" ma:contentTypeDescription="Create a new document." ma:contentTypeScope="" ma:versionID="a242ea41e360b65f0f62ab85808d8f6b">
  <xsd:schema xmlns:xsd="http://www.w3.org/2001/XMLSchema" xmlns:xs="http://www.w3.org/2001/XMLSchema" xmlns:p="http://schemas.microsoft.com/office/2006/metadata/properties" xmlns:ns2="e4befaf4-a901-440a-9684-8153cf877e68" xmlns:ns3="72d1d5c7-7327-4858-bb1d-66abfb6a9577" targetNamespace="http://schemas.microsoft.com/office/2006/metadata/properties" ma:root="true" ma:fieldsID="fc9450f7137b4b36b1572e04d664eea4" ns2:_="" ns3:_="">
    <xsd:import namespace="e4befaf4-a901-440a-9684-8153cf877e68"/>
    <xsd:import namespace="72d1d5c7-7327-4858-bb1d-66abfb6a95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efaf4-a901-440a-9684-8153cf877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e4a70d7-24fc-4df7-adf8-71b9b70bb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d1d5c7-7327-4858-bb1d-66abfb6a957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dceb7da-83ba-4548-96d7-b7f7b6345ff0}" ma:internalName="TaxCatchAll" ma:showField="CatchAllData" ma:web="72d1d5c7-7327-4858-bb1d-66abfb6a95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4EDE3B-F276-41BE-BE2D-8597B89E4281}">
  <ds:schemaRefs>
    <ds:schemaRef ds:uri="http://schemas.microsoft.com/office/2006/metadata/properties"/>
    <ds:schemaRef ds:uri="http://schemas.microsoft.com/office/infopath/2007/PartnerControls"/>
    <ds:schemaRef ds:uri="e4befaf4-a901-440a-9684-8153cf877e68"/>
    <ds:schemaRef ds:uri="72d1d5c7-7327-4858-bb1d-66abfb6a9577"/>
  </ds:schemaRefs>
</ds:datastoreItem>
</file>

<file path=customXml/itemProps2.xml><?xml version="1.0" encoding="utf-8"?>
<ds:datastoreItem xmlns:ds="http://schemas.openxmlformats.org/officeDocument/2006/customXml" ds:itemID="{17AF0D27-C9BB-41B8-B106-6C4E8B8F23B9}">
  <ds:schemaRefs>
    <ds:schemaRef ds:uri="http://schemas.microsoft.com/sharepoint/v3/contenttype/forms"/>
  </ds:schemaRefs>
</ds:datastoreItem>
</file>

<file path=customXml/itemProps3.xml><?xml version="1.0" encoding="utf-8"?>
<ds:datastoreItem xmlns:ds="http://schemas.openxmlformats.org/officeDocument/2006/customXml" ds:itemID="{AE1009F6-60BD-4428-A879-C181819DA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efaf4-a901-440a-9684-8153cf877e68"/>
    <ds:schemaRef ds:uri="72d1d5c7-7327-4858-bb1d-66abfb6a9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549</Words>
  <Characters>2748</Characters>
  <Application>Microsoft Office Word</Application>
  <DocSecurity>0</DocSecurity>
  <Lines>22</Lines>
  <Paragraphs>6</Paragraphs>
  <ScaleCrop>false</ScaleCrop>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יניב מאיר</dc:creator>
  <cp:keywords/>
  <dc:description/>
  <cp:lastModifiedBy>לירן לייבוביץ</cp:lastModifiedBy>
  <cp:revision>2</cp:revision>
  <dcterms:created xsi:type="dcterms:W3CDTF">2025-09-25T15:16:00Z</dcterms:created>
  <dcterms:modified xsi:type="dcterms:W3CDTF">2025-09-25T15:16:00Z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0x0101000DAD9B0B1843A64891CFD6636D22BB34</vt:lpwstr>
  </property>
</Properties>
</file>